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72B5" w14:textId="77777777" w:rsidR="00AC34C8" w:rsidRPr="00072752" w:rsidRDefault="00AC34C8" w:rsidP="00AC34C8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072752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Dear Editor, </w:t>
      </w:r>
    </w:p>
    <w:p w14:paraId="5DF77947" w14:textId="2021CDF2" w:rsidR="00256ADA" w:rsidRPr="00072752" w:rsidRDefault="00AC34C8" w:rsidP="00256AD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072752">
        <w:rPr>
          <w:rFonts w:ascii="Times New Roman" w:hAnsi="Times New Roman" w:cs="Times New Roman"/>
          <w:sz w:val="24"/>
          <w:szCs w:val="24"/>
        </w:rPr>
        <w:t xml:space="preserve">We deeply appreciate </w:t>
      </w:r>
      <w:r w:rsidR="00BF402C" w:rsidRPr="00072752">
        <w:rPr>
          <w:rFonts w:ascii="Times New Roman" w:hAnsi="Times New Roman" w:cs="Times New Roman"/>
          <w:bCs/>
          <w:sz w:val="24"/>
          <w:szCs w:val="24"/>
        </w:rPr>
        <w:t>reviewer</w:t>
      </w:r>
      <w:r w:rsidR="00072752" w:rsidRPr="00072752">
        <w:rPr>
          <w:rFonts w:ascii="Times New Roman" w:hAnsi="Times New Roman" w:cs="Times New Roman"/>
          <w:bCs/>
          <w:sz w:val="24"/>
          <w:szCs w:val="24"/>
        </w:rPr>
        <w:t>s</w:t>
      </w:r>
      <w:r w:rsidR="00BF402C" w:rsidRPr="00072752">
        <w:rPr>
          <w:rFonts w:ascii="Times New Roman" w:hAnsi="Times New Roman" w:cs="Times New Roman"/>
          <w:bCs/>
          <w:sz w:val="24"/>
          <w:szCs w:val="24"/>
        </w:rPr>
        <w:t>’</w:t>
      </w:r>
      <w:r w:rsidRPr="00072752">
        <w:rPr>
          <w:rFonts w:ascii="Times New Roman" w:hAnsi="Times New Roman" w:cs="Times New Roman"/>
          <w:sz w:val="24"/>
          <w:szCs w:val="24"/>
        </w:rPr>
        <w:t xml:space="preserve"> suggestions and comments on the manuscript. We have made necessary corrections to our submission and sending you a revised manuscript following </w:t>
      </w:r>
      <w:r w:rsidR="00BF402C" w:rsidRPr="00072752">
        <w:rPr>
          <w:rFonts w:ascii="Times New Roman" w:hAnsi="Times New Roman" w:cs="Times New Roman"/>
          <w:bCs/>
          <w:sz w:val="24"/>
          <w:szCs w:val="24"/>
        </w:rPr>
        <w:t>reviewer’s</w:t>
      </w:r>
      <w:r w:rsidRPr="00072752">
        <w:rPr>
          <w:rFonts w:ascii="Times New Roman" w:hAnsi="Times New Roman" w:cs="Times New Roman"/>
          <w:sz w:val="24"/>
          <w:szCs w:val="24"/>
        </w:rPr>
        <w:t xml:space="preserve"> comments. Two files of revised MS are attached, one file with track changes and the other with accepted changes. </w:t>
      </w:r>
      <w:r w:rsidR="00256ADA" w:rsidRPr="00072752">
        <w:rPr>
          <w:rFonts w:ascii="Times New Roman" w:hAnsi="Times New Roman" w:cs="Times New Roman"/>
          <w:sz w:val="24"/>
          <w:szCs w:val="24"/>
        </w:rPr>
        <w:t>Some of the corrections led to a change in the line numbers.</w:t>
      </w:r>
      <w:r w:rsidR="00256ADA" w:rsidRPr="00072752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</w:p>
    <w:p w14:paraId="35305AF9" w14:textId="0235AA5B" w:rsidR="00AC34C8" w:rsidRPr="00072752" w:rsidRDefault="00AC34C8" w:rsidP="00256ADA">
      <w:pPr>
        <w:jc w:val="both"/>
        <w:rPr>
          <w:rStyle w:val="shorttext"/>
          <w:rFonts w:ascii="Times New Roman" w:hAnsi="Times New Roman" w:cs="Times New Roman"/>
          <w:sz w:val="24"/>
          <w:szCs w:val="24"/>
          <w:lang w:val="en-GB"/>
        </w:rPr>
      </w:pPr>
      <w:r w:rsidRPr="00072752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Below </w:t>
      </w:r>
      <w:r w:rsidR="00D4538B" w:rsidRPr="00072752">
        <w:rPr>
          <w:rStyle w:val="shorttext"/>
          <w:rFonts w:ascii="Times New Roman" w:hAnsi="Times New Roman" w:cs="Times New Roman"/>
          <w:sz w:val="24"/>
          <w:szCs w:val="24"/>
          <w:lang w:val="en-GB"/>
        </w:rPr>
        <w:t>are</w:t>
      </w:r>
      <w:r w:rsidRPr="00072752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the answers to </w:t>
      </w:r>
      <w:r w:rsidR="00072752" w:rsidRPr="00072752">
        <w:rPr>
          <w:rStyle w:val="shorttext"/>
          <w:rFonts w:ascii="Times New Roman" w:hAnsi="Times New Roman" w:cs="Times New Roman"/>
          <w:sz w:val="24"/>
          <w:szCs w:val="24"/>
          <w:lang w:val="en-GB"/>
        </w:rPr>
        <w:t>reviewers’</w:t>
      </w:r>
      <w:r w:rsidRPr="00072752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comments: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072752" w:rsidRPr="00072752" w14:paraId="525C3963" w14:textId="77777777" w:rsidTr="00B27680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C597E60" w14:textId="1C6E1D10" w:rsidR="002F2D69" w:rsidRPr="00072752" w:rsidRDefault="002F2D69" w:rsidP="00B2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>Reviewer 1 comments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051EF75" w14:textId="77777777" w:rsidR="002F2D69" w:rsidRPr="00072752" w:rsidRDefault="002F2D69" w:rsidP="00B2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>Authors answers</w:t>
            </w:r>
          </w:p>
        </w:tc>
      </w:tr>
      <w:tr w:rsidR="00072752" w:rsidRPr="00072752" w14:paraId="73FFB177" w14:textId="77777777" w:rsidTr="00B27680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80DB30C" w14:textId="77777777" w:rsidR="002F2D69" w:rsidRPr="00072752" w:rsidRDefault="002F2D69" w:rsidP="002F2D69">
            <w:pPr>
              <w:pStyle w:val="NormalWeb"/>
              <w:shd w:val="clear" w:color="auto" w:fill="FFFFFF"/>
              <w:spacing w:before="144" w:beforeAutospacing="0" w:after="0" w:afterAutospacing="0"/>
              <w:ind w:left="360"/>
              <w:textAlignment w:val="baseline"/>
            </w:pPr>
            <w:r w:rsidRPr="00072752">
              <w:t xml:space="preserve">Table 1. The lignans isolated from </w:t>
            </w:r>
            <w:r w:rsidRPr="00072752">
              <w:rPr>
                <w:i/>
              </w:rPr>
              <w:t>Artemisia</w:t>
            </w:r>
            <w:r w:rsidRPr="00072752">
              <w:t xml:space="preserve"> species</w:t>
            </w:r>
          </w:p>
          <w:p w14:paraId="5B1EBD10" w14:textId="57458EB2" w:rsidR="002F2D69" w:rsidRPr="00072752" w:rsidRDefault="002F2D69" w:rsidP="002F2D69">
            <w:pPr>
              <w:pStyle w:val="NormalWeb"/>
              <w:shd w:val="clear" w:color="auto" w:fill="FFFFFF"/>
              <w:spacing w:before="144" w:beforeAutospacing="0" w:after="0" w:afterAutospacing="0"/>
              <w:textAlignment w:val="baseline"/>
              <w:rPr>
                <w:b/>
              </w:rPr>
            </w:pPr>
            <w:r w:rsidRPr="00072752">
              <w:t>The lignans listed by names in Table 1 should also be designated using (bold) numerals same as those in Fig. 2. The numerals should also be used throughout the text to refer to the particular compound.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47F145" w14:textId="010BEC71" w:rsidR="002F2D69" w:rsidRPr="00072752" w:rsidRDefault="00BF402C" w:rsidP="00B2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F2D69"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he names of the compounds in Table 1 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="002F2D69"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replaced by numbers equal to those in Figure 2.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Throughout the manuscript, in addition to the name of the compound in parentheses is given a number equal to the number on Figure 2.</w:t>
            </w:r>
          </w:p>
        </w:tc>
      </w:tr>
      <w:tr w:rsidR="00072752" w:rsidRPr="00072752" w14:paraId="5E3B0A00" w14:textId="77777777" w:rsidTr="00B27680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15A020F" w14:textId="77777777" w:rsidR="002F2D69" w:rsidRPr="00072752" w:rsidRDefault="002F2D69" w:rsidP="002F2D69">
            <w:pPr>
              <w:pStyle w:val="NormalWeb"/>
              <w:shd w:val="clear" w:color="auto" w:fill="FFFFFF"/>
              <w:spacing w:before="144" w:beforeAutospacing="0" w:after="0" w:afterAutospacing="0"/>
              <w:textAlignment w:val="baseline"/>
            </w:pPr>
            <w:r w:rsidRPr="00072752">
              <w:t xml:space="preserve">Table 2. </w:t>
            </w:r>
          </w:p>
          <w:p w14:paraId="450DB5EB" w14:textId="77777777" w:rsidR="002F2D69" w:rsidRPr="00072752" w:rsidRDefault="002F2D69" w:rsidP="002F2D69">
            <w:pPr>
              <w:pStyle w:val="NormalWeb"/>
              <w:shd w:val="clear" w:color="auto" w:fill="FFFFFF"/>
              <w:spacing w:before="144" w:beforeAutospacing="0" w:after="0" w:afterAutospacing="0"/>
              <w:textAlignment w:val="baseline"/>
            </w:pPr>
            <w:r w:rsidRPr="00072752">
              <w:t xml:space="preserve">Since the manuscript deals with </w:t>
            </w:r>
            <w:r w:rsidRPr="00072752">
              <w:rPr>
                <w:i/>
              </w:rPr>
              <w:t>Artemisia</w:t>
            </w:r>
            <w:r w:rsidRPr="00072752">
              <w:t xml:space="preserve"> there is no need to present analytical techniques for isolation of lignans from other genera (</w:t>
            </w:r>
            <w:r w:rsidRPr="00072752">
              <w:rPr>
                <w:i/>
              </w:rPr>
              <w:t>Magnolia</w:t>
            </w:r>
            <w:r w:rsidRPr="00072752">
              <w:t xml:space="preserve">, </w:t>
            </w:r>
            <w:r w:rsidRPr="00072752">
              <w:rPr>
                <w:i/>
              </w:rPr>
              <w:t>Ocotea</w:t>
            </w:r>
            <w:r w:rsidRPr="00072752">
              <w:t xml:space="preserve"> and </w:t>
            </w:r>
            <w:r w:rsidRPr="00072752">
              <w:rPr>
                <w:i/>
              </w:rPr>
              <w:t>Sesamum</w:t>
            </w:r>
            <w:r w:rsidRPr="00072752">
              <w:t>)</w:t>
            </w:r>
          </w:p>
          <w:p w14:paraId="6F44462D" w14:textId="756A7D68" w:rsidR="002F2D69" w:rsidRPr="00072752" w:rsidRDefault="002F2D69" w:rsidP="00B27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9452F79" w14:textId="461A8F98" w:rsidR="002F2D69" w:rsidRPr="00072752" w:rsidRDefault="00BF402C" w:rsidP="00B2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Deleted. </w:t>
            </w:r>
          </w:p>
        </w:tc>
      </w:tr>
      <w:tr w:rsidR="002F2D69" w:rsidRPr="00072752" w14:paraId="39FDBDDA" w14:textId="77777777" w:rsidTr="00B27680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0B94E0B" w14:textId="04038347" w:rsidR="002F2D69" w:rsidRPr="00072752" w:rsidRDefault="002F2D69" w:rsidP="00B27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The whole paper needs a careful editing of the English language</w:t>
            </w:r>
            <w:r w:rsidR="00BF402C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8C99FA2" w14:textId="261B8B44" w:rsidR="002F2D69" w:rsidRPr="00072752" w:rsidRDefault="00BF402C" w:rsidP="00B27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Checked.</w:t>
            </w:r>
          </w:p>
        </w:tc>
      </w:tr>
    </w:tbl>
    <w:p w14:paraId="1B8D71F5" w14:textId="77777777" w:rsidR="002F2D69" w:rsidRPr="00072752" w:rsidRDefault="002F2D69" w:rsidP="00256ADA">
      <w:pPr>
        <w:jc w:val="both"/>
        <w:rPr>
          <w:rStyle w:val="shorttext"/>
          <w:rFonts w:ascii="Times New Roman" w:hAnsi="Times New Roman" w:cs="Times New Roman"/>
          <w:sz w:val="24"/>
          <w:szCs w:val="24"/>
          <w:lang w:val="en-GB"/>
        </w:rPr>
      </w:pPr>
    </w:p>
    <w:p w14:paraId="0653FF94" w14:textId="77777777" w:rsidR="00AC34C8" w:rsidRPr="00072752" w:rsidRDefault="00AC34C8" w:rsidP="00874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5A050F" w14:textId="77777777" w:rsidR="00CB61BE" w:rsidRPr="00072752" w:rsidRDefault="00CB61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675"/>
        <w:gridCol w:w="5040"/>
      </w:tblGrid>
      <w:tr w:rsidR="00072752" w:rsidRPr="00072752" w14:paraId="3B9161DF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C80D7DB" w14:textId="728E8FDB" w:rsidR="00FF2E4F" w:rsidRPr="00072752" w:rsidRDefault="003821C1" w:rsidP="005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>Reviewer</w:t>
            </w:r>
            <w:r w:rsidR="00FF2E4F"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2D69"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FF2E4F"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5E5CA5E" w14:textId="77777777" w:rsidR="00FF2E4F" w:rsidRPr="00072752" w:rsidRDefault="00FF2E4F" w:rsidP="005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>Authors answers</w:t>
            </w:r>
          </w:p>
        </w:tc>
      </w:tr>
      <w:tr w:rsidR="00072752" w:rsidRPr="00072752" w14:paraId="2D47637A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3648D2A" w14:textId="77777777" w:rsidR="005D728F" w:rsidRPr="00072752" w:rsidRDefault="004A0507" w:rsidP="005D7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1, Line 9: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Instead of “sources, play”</w:t>
            </w:r>
          </w:p>
          <w:p w14:paraId="53886657" w14:textId="77777777" w:rsidR="00013FD4" w:rsidRPr="00072752" w:rsidRDefault="004A0507" w:rsidP="005D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“sources play”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2CAE887" w14:textId="09BA649B" w:rsidR="00013FD4" w:rsidRPr="00072752" w:rsidRDefault="00E54B0E" w:rsidP="005D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BF402C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528019AD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6C01065" w14:textId="77777777" w:rsidR="00E54B0E" w:rsidRPr="00072752" w:rsidRDefault="00E54B0E" w:rsidP="005D7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2, Line 36: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Instead of “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Astraceae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141BAB3" w14:textId="77777777" w:rsidR="00F41F77" w:rsidRPr="00072752" w:rsidRDefault="00E54B0E" w:rsidP="005D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“Asteraceae”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1A42DDC" w14:textId="4EB24AED" w:rsidR="00F41F77" w:rsidRPr="00072752" w:rsidRDefault="00E54B0E" w:rsidP="005D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BF402C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75E128DC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65EA00" w14:textId="77777777" w:rsidR="00E54B0E" w:rsidRPr="00072752" w:rsidRDefault="00E54B0E" w:rsidP="005D7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3, Line 69: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Instead of “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Arglabin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, a guaianolide type of sesquiterpene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lactones,”</w:t>
            </w:r>
          </w:p>
          <w:p w14:paraId="3BCEC7E9" w14:textId="77777777" w:rsidR="00013FD4" w:rsidRPr="00072752" w:rsidRDefault="00E54B0E" w:rsidP="005D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Arglabin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, a guaianolide type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sesquiterpene lactone,”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6D7FB2F" w14:textId="28F13DEA" w:rsidR="009208E7" w:rsidRPr="00072752" w:rsidRDefault="00256ADA" w:rsidP="005D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54B0E" w:rsidRPr="00072752">
              <w:rPr>
                <w:rFonts w:ascii="Times New Roman" w:hAnsi="Times New Roman" w:cs="Times New Roman"/>
                <w:sz w:val="24"/>
                <w:szCs w:val="24"/>
              </w:rPr>
              <w:t>orrected</w:t>
            </w:r>
            <w:r w:rsidR="00BF402C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CBDCC5" w14:textId="77777777" w:rsidR="00013FD4" w:rsidRPr="00072752" w:rsidRDefault="00013FD4" w:rsidP="005D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52" w:rsidRPr="00072752" w14:paraId="623C4B63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9E98212" w14:textId="77777777" w:rsidR="00E54B0E" w:rsidRPr="00072752" w:rsidRDefault="00E54B0E" w:rsidP="005D7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6: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 the Table 1 instead of “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Caruligan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Carulignan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B”</w:t>
            </w:r>
          </w:p>
          <w:p w14:paraId="6E2FDA02" w14:textId="77777777" w:rsidR="00E54B0E" w:rsidRPr="00072752" w:rsidRDefault="00E54B0E" w:rsidP="005D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Carulignan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carulignan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CCB6707" w14:textId="5F1209DF" w:rsidR="00E54B0E" w:rsidRPr="00072752" w:rsidRDefault="00CF20B3" w:rsidP="005D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According to the instructions of other reviewer names of the lignans </w:t>
            </w:r>
            <w:r w:rsidR="00256ADA" w:rsidRPr="0007275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the table are replaced with numbers given in bold </w:t>
            </w:r>
            <w:r w:rsidR="00256ADA" w:rsidRPr="0007275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the figure 2.</w:t>
            </w:r>
          </w:p>
        </w:tc>
      </w:tr>
      <w:tr w:rsidR="00072752" w:rsidRPr="00072752" w14:paraId="2D9E5C38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E24F89F" w14:textId="77777777" w:rsidR="00E54B0E" w:rsidRPr="00072752" w:rsidRDefault="00E54B0E" w:rsidP="005D7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Pages 6, 7, …: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 the Table 1, in Fig. 2 and through the text that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follows, the names 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ashantin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occur. Please, clarify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whether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they are two compounds or one compound with two names.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same goes for 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epiaschantin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epiashantin</w:t>
            </w:r>
            <w:proofErr w:type="spellEnd"/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Based on this, the structures of the corresponding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compounds show in Fig. 2</w:t>
            </w:r>
            <w:r w:rsidR="002517B4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(Page 7).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34DE030" w14:textId="3A5B8A65" w:rsidR="006103D9" w:rsidRPr="00072752" w:rsidRDefault="006275DD" w:rsidP="005D7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Aschantin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ashantin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are the synonyms, and we thought it better to leave them in the form in which they appear in the original article. </w:t>
            </w:r>
            <w:r w:rsidR="00256ADA"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That the two </w:t>
            </w:r>
            <w:r w:rsidR="00256ADA" w:rsidRPr="00072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names are synonymous is emphasized in Figure 2. Given the more frequent use of the name </w:t>
            </w:r>
            <w:proofErr w:type="spellStart"/>
            <w:r w:rsidR="00256ADA" w:rsidRPr="00072752">
              <w:rPr>
                <w:rFonts w:ascii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="00256ADA"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that name was used in the corrected manuscript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. The same is true </w:t>
            </w:r>
            <w:r w:rsidR="00072752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bookmarkStart w:id="0" w:name="_GoBack"/>
            <w:bookmarkEnd w:id="0"/>
            <w:proofErr w:type="spellStart"/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epiashcanitn</w:t>
            </w:r>
            <w:proofErr w:type="spellEnd"/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08C7C16A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F448E76" w14:textId="77777777" w:rsidR="001F01E7" w:rsidRPr="00072752" w:rsidRDefault="00E54B0E" w:rsidP="00E54B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Page 8, Lines 147–151: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Instead of “Subsequent steps hydroxylation of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cinnamic acid by cinnamate 4-hydroxylase, which leads to biosynthesis of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p-coumaric acid and activation of coumaric acid by 4-coumaroyl CoA-ligase,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which leads to biosynthesis of p-coumaroyl-CoA, are mandatory and provide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the basis for all subsequent branches and resulting metabolites113,114.”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1A0E98" w14:textId="77777777" w:rsidR="00E54B0E" w:rsidRPr="00072752" w:rsidRDefault="00E54B0E" w:rsidP="00E54B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“Subsequent steps, i.e. hydroxylation of cinnamic acid by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cinnamate 4-hydroxylase which leads to biosynthesis of p-coumaric acid and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activation of coumaric acid by 4-coumaroyl CoA-ligase which leads to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biosynthesis of p-coumaroyl-CoA, are mandatory and provide the basis for all</w:t>
            </w:r>
            <w:r w:rsidR="001F01E7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subsequent branches and resulting metabolites113,114.”.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6AED33C" w14:textId="5D34A1F1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Corrected.</w:t>
            </w:r>
          </w:p>
          <w:p w14:paraId="1BEA5B92" w14:textId="77777777" w:rsidR="00E54B0E" w:rsidRPr="00072752" w:rsidRDefault="00E54B0E" w:rsidP="00E54B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752" w:rsidRPr="00072752" w14:paraId="054A95B2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253BD05" w14:textId="77777777" w:rsidR="005D728F" w:rsidRPr="00072752" w:rsidRDefault="005D728F" w:rsidP="005D72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8, Line 156: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Instead of “are an abundant”</w:t>
            </w:r>
          </w:p>
          <w:p w14:paraId="11876DE4" w14:textId="77777777" w:rsidR="00E54B0E" w:rsidRPr="00072752" w:rsidRDefault="005D728F" w:rsidP="005D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“are abundant”.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38F8E16" w14:textId="73C76539" w:rsidR="00E54B0E" w:rsidRPr="00072752" w:rsidRDefault="00510AE3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333E23C6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95D8DE1" w14:textId="77777777" w:rsidR="00981C89" w:rsidRPr="00072752" w:rsidRDefault="00981C89" w:rsidP="00981C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8, Lines 157–159: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Instead of “During the years, the majority of the</w:t>
            </w:r>
            <w:r w:rsidR="008E626B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studies were devoted to understanding the biosynthesis of</w:t>
            </w:r>
            <w:r w:rsidR="008E626B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podophyllotoxin.</w:t>
            </w:r>
            <w:r w:rsidR="008E626B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The biosynthesis of lignans with 9(9′)-oxygen is very well studied.”</w:t>
            </w:r>
          </w:p>
          <w:p w14:paraId="3518BDC4" w14:textId="77777777" w:rsidR="00E54B0E" w:rsidRPr="00072752" w:rsidRDefault="00981C89" w:rsidP="00981C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should be: “During the years, the majority of the studies were devoted to</w:t>
            </w:r>
            <w:r w:rsidR="008E626B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the biosynthesis of podophyllotoxin, thanks to which the</w:t>
            </w:r>
            <w:r w:rsidR="008E626B"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hAnsi="Times New Roman" w:cs="Times New Roman"/>
                <w:bCs/>
                <w:sz w:val="24"/>
                <w:szCs w:val="24"/>
              </w:rPr>
              <w:t>biosynthesis of lignans with 9(9′)-oxygen is very well studied.”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134D78E" w14:textId="333783C8" w:rsidR="00E54B0E" w:rsidRPr="00072752" w:rsidRDefault="008D750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77DEB649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1EF3DD1" w14:textId="77777777" w:rsidR="008E626B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Page </w:t>
            </w:r>
            <w:r w:rsidR="00CA731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Line 168: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“lignin”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23616F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“lignan”.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5D7F05" w14:textId="19DFA131" w:rsidR="00E54B0E" w:rsidRPr="00072752" w:rsidRDefault="00CA731C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053097BE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6040CB3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9, Line 18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“O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methyltransferase”</w:t>
            </w:r>
          </w:p>
          <w:p w14:paraId="5468045F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“O-methyltransferase”.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57C8615" w14:textId="49E10F5A" w:rsidR="00E54B0E" w:rsidRPr="00072752" w:rsidRDefault="00CA731C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1BA93CA9" w14:textId="77777777" w:rsidTr="006103D9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43A0BC5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12, Line 22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“‘‘pre-extraction’’”</w:t>
            </w:r>
          </w:p>
          <w:p w14:paraId="31E263CD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““pre-extraction””.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51B8424" w14:textId="0124BF91" w:rsidR="00E54B0E" w:rsidRPr="00072752" w:rsidRDefault="00723AD9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0096ADE9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688E23B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Pages 14–15, In the Table 2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5BCC2D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instead of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absinthium</w:t>
            </w:r>
            <w:proofErr w:type="spellEnd"/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Fresh roots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(+)-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episesartemin</w:t>
            </w:r>
            <w:proofErr w:type="spellEnd"/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A,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(+)-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B, (+)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diasesartemin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    Petrol (60-80°C): diethyl ether, 2:1Chromatography: resin was dissolved in ether, TLC on silica gel with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ether:petrol</w:t>
            </w:r>
            <w:proofErr w:type="spellEnd"/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(4:1).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Fractionation: silica gel column (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petrol:ether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ether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0→100% and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CH3OH:ether, 3:10%). The lignan containing fractions (ether-CH3OH:ether,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50%-10%) were also subjected to preparative TLC.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14:paraId="38B48C8D" w14:textId="77777777" w:rsidR="00F23CC7" w:rsidRPr="00072752" w:rsidRDefault="00F23CC7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hould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be: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C89"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="00981C89"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absinthium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Fresh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roots     </w:t>
            </w:r>
            <w:proofErr w:type="spellStart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(+)-</w:t>
            </w:r>
            <w:proofErr w:type="spellStart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episesartemin</w:t>
            </w:r>
            <w:proofErr w:type="spellEnd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(+)-</w:t>
            </w:r>
            <w:proofErr w:type="spellStart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episesartemin</w:t>
            </w:r>
            <w:proofErr w:type="spellEnd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B, (+)-</w:t>
            </w:r>
            <w:proofErr w:type="spellStart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diasesartemin</w:t>
            </w:r>
            <w:proofErr w:type="spellEnd"/>
            <w:r w:rsidR="00981C8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    Petrol (60–80°C):ether, 2:1</w:t>
            </w:r>
          </w:p>
          <w:p w14:paraId="0180CB87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Chromatography: resin was dissolved in ether, TLC on silica gel with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ether:petrol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4:1.</w:t>
            </w:r>
          </w:p>
          <w:p w14:paraId="450CA667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Fractionation: silica gel column (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petrol:ether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100:0→0:100% and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CH3OH:ether, 3:97→10:90%). The lignan containing fractions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petrol:ether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–CH3OH:ether, 50%–10%) were also subjected to preparative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TLC.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14:paraId="11588547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DBB27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instead of: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caruifolia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Buch-Ham. ex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Roxb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    Aerial parts    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    Refluxing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(methanol).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Methanol extract was partitioned with CHCl3 and H20     Chromatography (CHCl3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extract): silica gel column (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hexane:ethyl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acetate, 7:3→3:1 and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ethylacetate:ethanol:H20, 6:2:1), gives 4 fractions</w:t>
            </w:r>
          </w:p>
          <w:p w14:paraId="20019027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Open column chromatography (fraction 1) with 60-100% methanol gives 3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sub-fractions.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Preparative TLC (sub-fractions): SiO2,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benzene:acetone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9:1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gives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Open column chromatography (fraction 2 and 3) with 40-60% methanol.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HPLC preparative chromatography of sub-fractions gives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23CC7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14:paraId="7703D87E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caruifolia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Buch-Ham. ex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Roxb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    Aerial parts    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    Refluxing</w:t>
            </w:r>
          </w:p>
          <w:p w14:paraId="6995600B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(methanol).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Methanol extract was partitioned with CHCl3 and H20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Chromatography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(CHCl3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extract): silica gel column (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hexane:ethyl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acetate, 7:3→3:1 and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ethylacetate:ethanol:H20, 6:2:1), gives 4 fractions.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Open column chromatography (fraction 1) with 60–100% methanol gives 3</w:t>
            </w:r>
          </w:p>
          <w:p w14:paraId="22927305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sub-fractions.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Preparative TLC (sub-fractions): SiO2,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benzene:acetone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9:1 gives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Open column chromatography (fraction 2 and 3) with 40–60% methanol.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HPLC preparative chromatography of sub-fractions gives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753454E" w14:textId="5AD07994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2730CD" w:rsidRPr="00072752">
              <w:rPr>
                <w:rFonts w:ascii="Times New Roman" w:hAnsi="Times New Roman" w:cs="Times New Roman"/>
                <w:sz w:val="24"/>
                <w:szCs w:val="24"/>
              </w:rPr>
              <w:t>orrected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30CD"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752" w:rsidRPr="00072752" w14:paraId="3CF6C9AC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F9A7EB0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Page 16, Line 26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“enterolactone, which”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“enterolactone which”.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FB04DF" w14:textId="52E6B222" w:rsidR="00E54B0E" w:rsidRPr="00072752" w:rsidRDefault="006E484E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4860486F" w14:textId="77777777" w:rsidTr="003821C1">
        <w:trPr>
          <w:trHeight w:val="145"/>
        </w:trPr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A3A7CB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16, Line 27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as a”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a”.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690E8F" w14:textId="774CA1BB" w:rsidR="00E54B0E" w:rsidRPr="00072752" w:rsidRDefault="00E54B0E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29ED6286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0C7A4EA" w14:textId="77777777" w:rsidR="00981C89" w:rsidRPr="00072752" w:rsidRDefault="00981C89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16, Line 2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“as well as, the”</w:t>
            </w:r>
          </w:p>
          <w:p w14:paraId="760E6FA2" w14:textId="77777777" w:rsidR="00E54B0E" w:rsidRPr="00072752" w:rsidRDefault="00981C89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“as well as the”.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DD96C2" w14:textId="51E58BE7" w:rsidR="00E54B0E" w:rsidRPr="00072752" w:rsidRDefault="00762A0D" w:rsidP="00E54B0E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38A20218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2E9848D" w14:textId="77777777" w:rsidR="00E54B0E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17, Line 29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Agrostis Stolonifera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C22F0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Agrostis stolonifera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38ECED8" w14:textId="6E34F841" w:rsidR="00E54B0E" w:rsidRPr="00072752" w:rsidRDefault="00762A0D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315AA520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A373374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Page 17, Line 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299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“which include:”</w:t>
            </w:r>
          </w:p>
          <w:p w14:paraId="72BDAFB8" w14:textId="77777777" w:rsidR="00E54B0E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“which include”.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20B2A17" w14:textId="111AF99D" w:rsidR="00E54B0E" w:rsidRPr="00072752" w:rsidRDefault="00365659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594642A2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D7D7E55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Page 17, Line 30</w:t>
            </w:r>
            <w:r w:rsidR="00B522F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: Instead of “as well as,”</w:t>
            </w:r>
          </w:p>
          <w:p w14:paraId="52648E8B" w14:textId="77777777" w:rsidR="00E54B0E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“as well as”.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6BD5A83" w14:textId="3FADFEF6" w:rsidR="00E54B0E" w:rsidRPr="00072752" w:rsidRDefault="00721D76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4E131D13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777222E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Page 17, Line 30</w:t>
            </w:r>
            <w:r w:rsidR="00B522F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: Instead of “as well as,”</w:t>
            </w:r>
          </w:p>
          <w:p w14:paraId="30673D0B" w14:textId="77777777" w:rsidR="00E54B0E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“as well as”.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39D8C11" w14:textId="3981B29D" w:rsidR="00E54B0E" w:rsidRPr="00072752" w:rsidRDefault="00721D76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7C5E0F0C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</w:tcBorders>
            <w:vAlign w:val="center"/>
          </w:tcPr>
          <w:p w14:paraId="4E4F44E2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Page 17, Line 30</w:t>
            </w:r>
            <w:r w:rsidR="00B522FC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: Instead of “in vivo”</w:t>
            </w:r>
          </w:p>
          <w:p w14:paraId="521269EB" w14:textId="77777777" w:rsidR="00E54B0E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 vivo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77631B7" w14:textId="5ECB54D1" w:rsidR="00E54B0E" w:rsidRPr="00072752" w:rsidRDefault="00721D76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4BB6B084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F7429D5" w14:textId="77777777" w:rsidR="00E54B0E" w:rsidRPr="00072752" w:rsidRDefault="008E626B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31339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 17, Line 31</w:t>
            </w:r>
            <w:r w:rsidR="00B522FC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“temporally” or “temporarily”?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675AE90" w14:textId="23797000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Corrected. </w:t>
            </w:r>
          </w:p>
        </w:tc>
      </w:tr>
      <w:tr w:rsidR="00072752" w:rsidRPr="00072752" w14:paraId="7286D37E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A9E8880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18, Line 32</w:t>
            </w:r>
            <w:r w:rsidR="00FC4494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“β-oxidation”</w:t>
            </w:r>
          </w:p>
          <w:p w14:paraId="6EE77A74" w14:textId="77777777" w:rsidR="00E54B0E" w:rsidRPr="00072752" w:rsidRDefault="008E626B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β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-oxidation”.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15199D2" w14:textId="39D73358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Corrected.</w:t>
            </w:r>
          </w:p>
        </w:tc>
      </w:tr>
      <w:tr w:rsidR="00072752" w:rsidRPr="00072752" w14:paraId="237A721F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96C908B" w14:textId="77777777" w:rsidR="00E54B0E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18, Lines 32</w:t>
            </w:r>
            <w:r w:rsidR="004569E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–3</w:t>
            </w:r>
            <w:r w:rsidR="004569E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Furofuran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lignans: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133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yangambin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showed weak activity against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Staphylococcus aureus</w:t>
            </w:r>
            <w:r w:rsidR="00D3133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Escherichia coli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 inactive against</w:t>
            </w:r>
            <w:r w:rsidR="00D3133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Escherichia coli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201.”</w:t>
            </w:r>
            <w:r w:rsidR="00D3133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cannot be inactive against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Escherichia coli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show</w:t>
            </w:r>
            <w:r w:rsidR="00D3133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weak activity against the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E. coli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. Please, clarify.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4F2036F" w14:textId="77777777" w:rsidR="00E54B0E" w:rsidRPr="00072752" w:rsidRDefault="00D35003" w:rsidP="00D3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Authors have carefully read the paragraph and are very grateful for useful comments. We agree with the reviewer, the paragraph is unclear to a certain extent. In order to explain the paragraph was rewritten: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Furofuran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lignans: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yangambin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showed weak activity against </w:t>
            </w:r>
            <w:r w:rsidRPr="00072752">
              <w:rPr>
                <w:rFonts w:ascii="Times New Roman" w:hAnsi="Times New Roman" w:cs="Times New Roman"/>
                <w:i/>
                <w:sz w:val="24"/>
                <w:szCs w:val="24"/>
              </w:rPr>
              <w:t>Staphylococcus aureus</w:t>
            </w:r>
            <w:r w:rsidRPr="000727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yangambin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also showed weak activity against </w:t>
            </w:r>
            <w:r w:rsidRPr="00072752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while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were inactive</w:t>
            </w:r>
            <w:r w:rsidR="00B46D2A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67C95842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B78DCF7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18, Line 33</w:t>
            </w:r>
            <w:r w:rsidR="00241A60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Fomitopsis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Palustris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D31339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Fomitopsis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palustris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14:paraId="56C1B111" w14:textId="77777777" w:rsidR="00E54B0E" w:rsidRPr="00072752" w:rsidRDefault="00E54B0E" w:rsidP="008E6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B2C200" w14:textId="771AEB8C" w:rsidR="00E54B0E" w:rsidRPr="00072752" w:rsidRDefault="005E04CB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71DEE4FE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24BC926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18, Line 33</w:t>
            </w:r>
            <w:r w:rsidR="00241A60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yangambin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were”</w:t>
            </w:r>
          </w:p>
          <w:p w14:paraId="2070833C" w14:textId="77777777" w:rsidR="00E54B0E" w:rsidRPr="00072752" w:rsidRDefault="008E626B" w:rsidP="00C22F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yangambin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6752C4" w14:textId="2D1AC597" w:rsidR="00E54B0E" w:rsidRPr="00072752" w:rsidRDefault="00CB10A1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1D75813A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CD4469A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18, Lines 3</w:t>
            </w:r>
            <w:r w:rsidR="00241A60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–3</w:t>
            </w:r>
            <w:r w:rsidR="00241A60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A30C5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data: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Ortet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al.57 evaluated in vitro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cytotoxicity of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eudesmin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kobusin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</w:p>
          <w:p w14:paraId="06A55CE9" w14:textId="77777777" w:rsidR="00F44C45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screening panel consisting of various mammalian tumor cell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lines. All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furofuran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lignans were tested for their antimalarial activity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against chloroquine-resistant Plasmodium falciparum and for their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cytotoxicity against murine normal cells. While no promising cytotoxicity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against human tumor cells were noticed, marginal potency and selectivity was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found for compounds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eudesmin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kobusin</w:t>
            </w:r>
            <w:proofErr w:type="spellEnd"/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against murine colon 38.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epimagnolin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kobusin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showed mild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antiplasmodial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activities,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being the most active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compound, without noticeable toxicity on mammalian normal cells.” </w:t>
            </w:r>
          </w:p>
          <w:p w14:paraId="10EA1DC1" w14:textId="77777777" w:rsidR="00E54B0E" w:rsidRPr="00072752" w:rsidRDefault="00F44C45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hould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626B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be checked and re-written clearly and concisely.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84370E" w14:textId="77777777" w:rsidR="00E54B0E" w:rsidRPr="00072752" w:rsidRDefault="00C30CEB" w:rsidP="00C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Authors are very grateful for Your advice. The paragraph was carefully read and re-written:</w:t>
            </w:r>
          </w:p>
          <w:p w14:paraId="6B40C191" w14:textId="77777777" w:rsidR="00C30CEB" w:rsidRPr="00072752" w:rsidRDefault="00C30CEB" w:rsidP="00C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Ortet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et al.</w:t>
            </w:r>
            <w:r w:rsidRPr="000727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57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evaluated </w:t>
            </w:r>
            <w:r w:rsidRPr="000727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vitro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cytotoxicity of </w:t>
            </w:r>
            <w:bookmarkStart w:id="1" w:name="_Hlk488261180"/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eudesmin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2" w:name="_Hlk488260954"/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magnolin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epimagnolin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kobusin</w:t>
            </w:r>
            <w:bookmarkEnd w:id="1"/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against various human and murine tumor and normal cells</w:t>
            </w:r>
            <w:bookmarkEnd w:id="2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antimalarial activity against chloroquine-resistant </w:t>
            </w:r>
            <w:r w:rsidRPr="00072752">
              <w:rPr>
                <w:rFonts w:ascii="Times New Roman" w:hAnsi="Times New Roman" w:cs="Times New Roman"/>
                <w:i/>
                <w:sz w:val="24"/>
                <w:szCs w:val="24"/>
              </w:rPr>
              <w:t>Plasmodium falciparum</w:t>
            </w: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. Tested compounds showed no cytotoxic activity against human tumor cells. With the exception of the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all other lignans showed weak cytotoxic activity against murine normal cells.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Epimagnolin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aschantin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kobusin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showed mild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antiplasmodial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activities. Furthermore, the cytotoxicity of </w:t>
            </w:r>
            <w:proofErr w:type="spellStart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 on mammalian normal cells was unnoticeable.</w:t>
            </w:r>
          </w:p>
          <w:p w14:paraId="2E4EBB55" w14:textId="77777777" w:rsidR="00C30CEB" w:rsidRPr="00072752" w:rsidRDefault="00C30CEB" w:rsidP="00C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52" w:rsidRPr="00072752" w14:paraId="3B6107C7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FEB3D47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18, Line 3</w:t>
            </w:r>
            <w:r w:rsidR="00D31BBB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“in vitro”</w:t>
            </w:r>
          </w:p>
          <w:p w14:paraId="3E9A90E7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“in vitro”.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AB5CC07" w14:textId="658219F2" w:rsidR="00E54B0E" w:rsidRPr="00072752" w:rsidRDefault="00CA546B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452B661D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47431F7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Page 19, Line </w:t>
            </w:r>
            <w:r w:rsidR="00AA62A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31BBB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A62A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syringaresinol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diayangambin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 tested using Meth-A”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caruilignan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 tested using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Meth-A”.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8AD8DF2" w14:textId="4B2A3407" w:rsidR="00E54B0E" w:rsidRPr="00072752" w:rsidRDefault="00AA62AD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3CFBEEF0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CF94146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Page 19, Line </w:t>
            </w:r>
            <w:r w:rsidR="00AA62A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31BBB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, were”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sesartemin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149F2FE" w14:textId="5EEC57B2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Corrected.</w:t>
            </w:r>
          </w:p>
        </w:tc>
      </w:tr>
      <w:tr w:rsidR="00072752" w:rsidRPr="00072752" w14:paraId="4E9DA3AD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80A3FFC" w14:textId="77777777" w:rsidR="00F44C45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19, Line 3</w:t>
            </w:r>
            <w:r w:rsidR="00D31BBB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canariensis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caruifolia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gorgonum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F44C45"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jacutica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A.</w:t>
            </w:r>
            <w:r w:rsidR="00F44C45"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macrocephala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A. minor, 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sieversiana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45755F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canariensis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caruifolia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A.</w:t>
            </w:r>
            <w:r w:rsidR="00F44C45"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gorgonum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jacutica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A.</w:t>
            </w:r>
            <w:r w:rsidR="00F44C45"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macrocephala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A. minor, A.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sieversiana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FB49AA5" w14:textId="63A9EDC8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 xml:space="preserve">Corrected. </w:t>
            </w:r>
          </w:p>
        </w:tc>
      </w:tr>
      <w:tr w:rsidR="00072752" w:rsidRPr="00072752" w14:paraId="141AED32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09D07E1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Page 19, Line </w:t>
            </w:r>
            <w:r w:rsidR="000B3978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97C7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B3978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“genus,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could”should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be: “genus could”.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3440905" w14:textId="48106B26" w:rsidR="00E54B0E" w:rsidRPr="00072752" w:rsidRDefault="002B0722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Corrected.</w:t>
            </w:r>
          </w:p>
        </w:tc>
      </w:tr>
      <w:tr w:rsidR="00072752" w:rsidRPr="00072752" w14:paraId="4C0933B7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80A4BB0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19, Line 3</w:t>
            </w:r>
            <w:r w:rsidR="00F97C7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A62A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“challenge, that”</w:t>
            </w:r>
          </w:p>
          <w:p w14:paraId="6E068570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should be: “challenge that”.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B3A061D" w14:textId="38EB707D" w:rsidR="00E54B0E" w:rsidRPr="00072752" w:rsidRDefault="000B3978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77FCF51A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811E1A1" w14:textId="77777777" w:rsidR="00F44C45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20, Line 3</w:t>
            </w:r>
            <w:r w:rsidR="00F97C7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21B35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Instead of “EC 2.1.1.104 – caffeoyl-CoA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O-methyltransferase”</w:t>
            </w:r>
          </w:p>
          <w:p w14:paraId="0109916B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should be: “EC 2.1.1.104 – caffeoyl-CoA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methyltransferase”.</w:t>
            </w:r>
          </w:p>
          <w:p w14:paraId="671C64A0" w14:textId="77777777" w:rsidR="00E54B0E" w:rsidRPr="00072752" w:rsidRDefault="00E54B0E" w:rsidP="008E62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74D3527" w14:textId="3B474387" w:rsidR="00E54B0E" w:rsidRPr="00072752" w:rsidRDefault="00E21B35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0300E373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vAlign w:val="center"/>
          </w:tcPr>
          <w:p w14:paraId="3E53E1C7" w14:textId="77777777" w:rsidR="00F44C45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 20, Line 3</w:t>
            </w:r>
            <w:r w:rsidR="00F97C7D"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72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3: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Instead of “EC 2.1.1.68 –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5-hydroxyconiferaldehyde/5-hydroxyconiferyl</w:t>
            </w:r>
            <w:r w:rsidR="0065760E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alcohol O-methyltransferase”</w:t>
            </w:r>
          </w:p>
          <w:p w14:paraId="33096889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“EC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2.1.1.68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44C45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hydroxyconiferaldehyde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/5-hydroxyconiferyl</w:t>
            </w:r>
            <w:r w:rsidR="0065760E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alcohol </w:t>
            </w:r>
            <w:r w:rsidRPr="00072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-methyltransferase”.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AFC1010" w14:textId="37F65CE6" w:rsidR="00E54B0E" w:rsidRPr="00072752" w:rsidRDefault="00E21B35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2EA063A1" w14:textId="77777777" w:rsidTr="008461ED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2257A4" w14:textId="77777777" w:rsidR="00453CEC" w:rsidRPr="00072752" w:rsidRDefault="00453CEC" w:rsidP="00453C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reference No. 13: 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genra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44891682" w14:textId="77777777" w:rsidR="00453CEC" w:rsidRPr="00072752" w:rsidRDefault="00453CEC" w:rsidP="00453C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“genera”.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A31413B" w14:textId="0156A8A5" w:rsidR="00453CEC" w:rsidRPr="00072752" w:rsidRDefault="00453CEC" w:rsidP="0045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741CBCC1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A1AE03E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20, 26, 29, 31, 48, 61, 63, 111, 135, 160, 184</w:t>
            </w:r>
            <w:r w:rsidR="0065760E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 formatted</w:t>
            </w:r>
            <w:r w:rsidR="0065760E"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to follow the Journal’s style.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1992AC" w14:textId="7490612F" w:rsidR="00E54B0E" w:rsidRPr="00072752" w:rsidRDefault="00E2254D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Formatted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752" w:rsidRPr="00072752" w14:paraId="0EB1B63C" w14:textId="77777777" w:rsidTr="003821C1">
        <w:tc>
          <w:tcPr>
            <w:tcW w:w="467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D822403" w14:textId="77777777" w:rsidR="008E626B" w:rsidRPr="00072752" w:rsidRDefault="008E626B" w:rsidP="008E62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9596561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In the reference No. 196: Instead of “</w:t>
            </w:r>
            <w:proofErr w:type="spellStart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Yamadat</w:t>
            </w:r>
            <w:proofErr w:type="spellEnd"/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54AC5025" w14:textId="77777777" w:rsidR="00E54B0E" w:rsidRPr="00072752" w:rsidRDefault="008E626B" w:rsidP="00F44C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be: “Yamada”.</w:t>
            </w:r>
          </w:p>
        </w:tc>
        <w:tc>
          <w:tcPr>
            <w:tcW w:w="504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18B7919" w14:textId="61ED3E76" w:rsidR="00E54B0E" w:rsidRPr="00072752" w:rsidRDefault="00677EFC" w:rsidP="00E54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752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2B0722" w:rsidRPr="00072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3"/>
    </w:tbl>
    <w:p w14:paraId="52A8E2E7" w14:textId="14EA596E" w:rsidR="00B2345B" w:rsidRPr="00072752" w:rsidRDefault="00B2345B">
      <w:pPr>
        <w:rPr>
          <w:rFonts w:ascii="Times New Roman" w:hAnsi="Times New Roman" w:cs="Times New Roman"/>
          <w:sz w:val="24"/>
          <w:szCs w:val="24"/>
        </w:rPr>
      </w:pPr>
    </w:p>
    <w:p w14:paraId="7D758123" w14:textId="4F839B90" w:rsidR="00D4538B" w:rsidRPr="00072752" w:rsidRDefault="00D4538B">
      <w:pPr>
        <w:rPr>
          <w:rFonts w:ascii="Times New Roman" w:hAnsi="Times New Roman" w:cs="Times New Roman"/>
          <w:sz w:val="24"/>
          <w:szCs w:val="24"/>
        </w:rPr>
      </w:pPr>
      <w:r w:rsidRPr="00072752">
        <w:rPr>
          <w:rFonts w:ascii="Times New Roman" w:hAnsi="Times New Roman" w:cs="Times New Roman"/>
          <w:sz w:val="24"/>
          <w:szCs w:val="24"/>
        </w:rPr>
        <w:t>Thanks again for the opportunity to improve the manuscript</w:t>
      </w:r>
      <w:r w:rsidRPr="00072752">
        <w:rPr>
          <w:rFonts w:ascii="Times New Roman" w:hAnsi="Times New Roman" w:cs="Times New Roman"/>
          <w:sz w:val="24"/>
          <w:szCs w:val="24"/>
        </w:rPr>
        <w:t>.</w:t>
      </w:r>
    </w:p>
    <w:p w14:paraId="06F3C0AD" w14:textId="401E8FCE" w:rsidR="00D4538B" w:rsidRPr="00072752" w:rsidRDefault="00D4538B">
      <w:pPr>
        <w:rPr>
          <w:rFonts w:ascii="Times New Roman" w:hAnsi="Times New Roman" w:cs="Times New Roman"/>
          <w:sz w:val="24"/>
          <w:szCs w:val="24"/>
        </w:rPr>
      </w:pPr>
      <w:r w:rsidRPr="00072752">
        <w:rPr>
          <w:rFonts w:ascii="Times New Roman" w:hAnsi="Times New Roman" w:cs="Times New Roman"/>
          <w:sz w:val="24"/>
          <w:szCs w:val="24"/>
        </w:rPr>
        <w:t>Sincerely,</w:t>
      </w:r>
    </w:p>
    <w:p w14:paraId="6F7FB32A" w14:textId="43C1B337" w:rsidR="00D4538B" w:rsidRPr="00072752" w:rsidRDefault="00D4538B">
      <w:pPr>
        <w:rPr>
          <w:rFonts w:ascii="Times New Roman" w:hAnsi="Times New Roman" w:cs="Times New Roman"/>
          <w:sz w:val="24"/>
          <w:szCs w:val="24"/>
        </w:rPr>
      </w:pPr>
      <w:r w:rsidRPr="00072752">
        <w:rPr>
          <w:rFonts w:ascii="Times New Roman" w:hAnsi="Times New Roman" w:cs="Times New Roman"/>
          <w:sz w:val="24"/>
          <w:szCs w:val="24"/>
        </w:rPr>
        <w:t>on behalf of all authors,</w:t>
      </w:r>
    </w:p>
    <w:p w14:paraId="79051A52" w14:textId="0B6C2B45" w:rsidR="00D4538B" w:rsidRPr="00072752" w:rsidRDefault="00D4538B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72752">
        <w:rPr>
          <w:rFonts w:ascii="Times New Roman" w:hAnsi="Times New Roman" w:cs="Times New Roman"/>
          <w:i/>
          <w:iCs/>
          <w:sz w:val="24"/>
          <w:szCs w:val="24"/>
        </w:rPr>
        <w:t>Gordana</w:t>
      </w:r>
      <w:proofErr w:type="spellEnd"/>
      <w:r w:rsidRPr="000727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2752">
        <w:rPr>
          <w:rFonts w:ascii="Times New Roman" w:hAnsi="Times New Roman" w:cs="Times New Roman"/>
          <w:i/>
          <w:iCs/>
          <w:sz w:val="24"/>
          <w:szCs w:val="24"/>
        </w:rPr>
        <w:t>Stojanovic</w:t>
      </w:r>
      <w:proofErr w:type="spellEnd"/>
    </w:p>
    <w:sectPr w:rsidR="00D4538B" w:rsidRPr="0007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40D13"/>
    <w:multiLevelType w:val="hybridMultilevel"/>
    <w:tmpl w:val="F5F0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4A"/>
    <w:rsid w:val="00002D08"/>
    <w:rsid w:val="0000627E"/>
    <w:rsid w:val="00013FD4"/>
    <w:rsid w:val="00072752"/>
    <w:rsid w:val="000B3978"/>
    <w:rsid w:val="00192ABD"/>
    <w:rsid w:val="00196758"/>
    <w:rsid w:val="001F01E7"/>
    <w:rsid w:val="00241A60"/>
    <w:rsid w:val="002517B4"/>
    <w:rsid w:val="00256ADA"/>
    <w:rsid w:val="002730CD"/>
    <w:rsid w:val="002A2B99"/>
    <w:rsid w:val="002A5EB7"/>
    <w:rsid w:val="002B0722"/>
    <w:rsid w:val="002D681A"/>
    <w:rsid w:val="002E0E9E"/>
    <w:rsid w:val="002F2085"/>
    <w:rsid w:val="002F2D69"/>
    <w:rsid w:val="0030564A"/>
    <w:rsid w:val="00326E0B"/>
    <w:rsid w:val="00347F95"/>
    <w:rsid w:val="003517A8"/>
    <w:rsid w:val="00361566"/>
    <w:rsid w:val="00363746"/>
    <w:rsid w:val="00365659"/>
    <w:rsid w:val="00373875"/>
    <w:rsid w:val="003821C1"/>
    <w:rsid w:val="003D46C9"/>
    <w:rsid w:val="00405464"/>
    <w:rsid w:val="00425388"/>
    <w:rsid w:val="00453CEC"/>
    <w:rsid w:val="004569ED"/>
    <w:rsid w:val="004A0507"/>
    <w:rsid w:val="004D5983"/>
    <w:rsid w:val="005109CF"/>
    <w:rsid w:val="00510AE3"/>
    <w:rsid w:val="00540018"/>
    <w:rsid w:val="005562BC"/>
    <w:rsid w:val="005A2711"/>
    <w:rsid w:val="005A6C76"/>
    <w:rsid w:val="005D728F"/>
    <w:rsid w:val="005E04CB"/>
    <w:rsid w:val="006103D9"/>
    <w:rsid w:val="0061482C"/>
    <w:rsid w:val="006275DD"/>
    <w:rsid w:val="0065760E"/>
    <w:rsid w:val="00671225"/>
    <w:rsid w:val="0067631E"/>
    <w:rsid w:val="00677EFC"/>
    <w:rsid w:val="006854FC"/>
    <w:rsid w:val="00693553"/>
    <w:rsid w:val="0069383F"/>
    <w:rsid w:val="006A30C5"/>
    <w:rsid w:val="006E2C4E"/>
    <w:rsid w:val="006E484E"/>
    <w:rsid w:val="006F1149"/>
    <w:rsid w:val="007122CB"/>
    <w:rsid w:val="00721D76"/>
    <w:rsid w:val="00723AD9"/>
    <w:rsid w:val="00762A0D"/>
    <w:rsid w:val="007637ED"/>
    <w:rsid w:val="0077429D"/>
    <w:rsid w:val="00782197"/>
    <w:rsid w:val="00835BB3"/>
    <w:rsid w:val="0083715A"/>
    <w:rsid w:val="008715D6"/>
    <w:rsid w:val="00874907"/>
    <w:rsid w:val="008809EA"/>
    <w:rsid w:val="0088106D"/>
    <w:rsid w:val="008964A3"/>
    <w:rsid w:val="008D7502"/>
    <w:rsid w:val="008E626B"/>
    <w:rsid w:val="009208E7"/>
    <w:rsid w:val="0092682A"/>
    <w:rsid w:val="00951244"/>
    <w:rsid w:val="00981C89"/>
    <w:rsid w:val="009D6D9F"/>
    <w:rsid w:val="00A0718D"/>
    <w:rsid w:val="00A6318A"/>
    <w:rsid w:val="00AA62AD"/>
    <w:rsid w:val="00AC34C8"/>
    <w:rsid w:val="00B22A0C"/>
    <w:rsid w:val="00B2345B"/>
    <w:rsid w:val="00B46D2A"/>
    <w:rsid w:val="00B522FC"/>
    <w:rsid w:val="00B60F74"/>
    <w:rsid w:val="00B745DD"/>
    <w:rsid w:val="00BC67A6"/>
    <w:rsid w:val="00BD7D4A"/>
    <w:rsid w:val="00BE7F2E"/>
    <w:rsid w:val="00BF402C"/>
    <w:rsid w:val="00BF5B1B"/>
    <w:rsid w:val="00C06CEA"/>
    <w:rsid w:val="00C07578"/>
    <w:rsid w:val="00C22F0C"/>
    <w:rsid w:val="00C30CEB"/>
    <w:rsid w:val="00C542FC"/>
    <w:rsid w:val="00C74A32"/>
    <w:rsid w:val="00C831AF"/>
    <w:rsid w:val="00CA546B"/>
    <w:rsid w:val="00CA731C"/>
    <w:rsid w:val="00CB10A1"/>
    <w:rsid w:val="00CB61BE"/>
    <w:rsid w:val="00CE73B0"/>
    <w:rsid w:val="00CF20B3"/>
    <w:rsid w:val="00D31339"/>
    <w:rsid w:val="00D31BBB"/>
    <w:rsid w:val="00D35003"/>
    <w:rsid w:val="00D4538B"/>
    <w:rsid w:val="00D82CF7"/>
    <w:rsid w:val="00DC7D78"/>
    <w:rsid w:val="00DF13F6"/>
    <w:rsid w:val="00DF44BD"/>
    <w:rsid w:val="00DF57E6"/>
    <w:rsid w:val="00E006B8"/>
    <w:rsid w:val="00E0314C"/>
    <w:rsid w:val="00E125FB"/>
    <w:rsid w:val="00E21B35"/>
    <w:rsid w:val="00E2254D"/>
    <w:rsid w:val="00E252CC"/>
    <w:rsid w:val="00E4118F"/>
    <w:rsid w:val="00E54B0E"/>
    <w:rsid w:val="00E70F29"/>
    <w:rsid w:val="00ED0831"/>
    <w:rsid w:val="00F063D2"/>
    <w:rsid w:val="00F23CC7"/>
    <w:rsid w:val="00F41F77"/>
    <w:rsid w:val="00F43799"/>
    <w:rsid w:val="00F44C45"/>
    <w:rsid w:val="00F874DC"/>
    <w:rsid w:val="00F97C7D"/>
    <w:rsid w:val="00FC4494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5830"/>
  <w15:chartTrackingRefBased/>
  <w15:docId w15:val="{23DB7324-6E5D-4FD4-A0DE-9AB94367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3F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C34C8"/>
  </w:style>
  <w:style w:type="character" w:customStyle="1" w:styleId="shorttext">
    <w:name w:val="short_text"/>
    <w:basedOn w:val="DefaultParagraphFont"/>
    <w:rsid w:val="00AC34C8"/>
  </w:style>
  <w:style w:type="character" w:customStyle="1" w:styleId="A0">
    <w:name w:val="A0"/>
    <w:uiPriority w:val="99"/>
    <w:rsid w:val="00AC34C8"/>
    <w:rPr>
      <w:rFonts w:cs="Minion Pro"/>
      <w:color w:val="221E1F"/>
      <w:sz w:val="22"/>
      <w:szCs w:val="22"/>
    </w:rPr>
  </w:style>
  <w:style w:type="character" w:customStyle="1" w:styleId="alt-edited1">
    <w:name w:val="alt-edited1"/>
    <w:rsid w:val="00AC34C8"/>
    <w:rPr>
      <w:color w:val="4D90F0"/>
    </w:rPr>
  </w:style>
  <w:style w:type="paragraph" w:styleId="NormalWeb">
    <w:name w:val="Normal (Web)"/>
    <w:basedOn w:val="Normal"/>
    <w:uiPriority w:val="99"/>
    <w:unhideWhenUsed/>
    <w:rsid w:val="002F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Goca</cp:lastModifiedBy>
  <cp:revision>5</cp:revision>
  <dcterms:created xsi:type="dcterms:W3CDTF">2020-01-16T10:04:00Z</dcterms:created>
  <dcterms:modified xsi:type="dcterms:W3CDTF">2020-01-20T12:08:00Z</dcterms:modified>
</cp:coreProperties>
</file>