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</w:pPr>
    </w:p>
    <w:p>
      <w:pPr>
        <w:pStyle w:val="Body A"/>
      </w:pPr>
    </w:p>
    <w:p>
      <w:pPr>
        <w:pStyle w:val="Body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360" w:lineRule="auto"/>
        <w:jc w:val="center"/>
        <w:rPr>
          <w:rFonts w:ascii="Calibri" w:cs="Calibri" w:hAnsi="Calibri" w:eastAsia="Calibri"/>
          <w:kern w:val="2"/>
          <w:sz w:val="21"/>
          <w:szCs w:val="21"/>
          <w:u w:color="000000"/>
        </w:rPr>
      </w:pPr>
      <w:r>
        <w:rPr>
          <w:rtl w:val="0"/>
          <w:lang w:val="en-US"/>
        </w:rPr>
        <w:t xml:space="preserve"> Corrected </w:t>
      </w:r>
      <w:bookmarkStart w:name="translation_sen_id4" w:id="0"/>
      <w:r>
        <w:rPr>
          <w:rFonts w:ascii="Times New Roman" w:hAnsi="Times New Roman"/>
          <w:color w:val="000000"/>
          <w:kern w:val="2"/>
          <w:sz w:val="24"/>
          <w:szCs w:val="24"/>
          <w:u w:color="000000"/>
          <w:rtl w:val="0"/>
          <w:lang w:val="en-US"/>
        </w:rPr>
        <w:t>Table 5. Optimal reaction conditions for the synthesis of dialkylphosphate with different alcohols</w:t>
      </w:r>
      <w:bookmarkEnd w:id="0"/>
    </w:p>
    <w:tbl>
      <w:tblPr>
        <w:tblW w:w="915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898"/>
        <w:gridCol w:w="1156"/>
        <w:gridCol w:w="1013"/>
        <w:gridCol w:w="989"/>
        <w:gridCol w:w="1027"/>
        <w:gridCol w:w="1230"/>
        <w:gridCol w:w="1437"/>
        <w:gridCol w:w="1400"/>
      </w:tblGrid>
      <w:tr>
        <w:tblPrEx>
          <w:shd w:val="clear" w:color="auto" w:fill="ceddeb"/>
        </w:tblPrEx>
        <w:trPr>
          <w:trHeight w:val="755" w:hRule="atLeast"/>
        </w:trPr>
        <w:tc>
          <w:tcPr>
            <w:tcW w:type="dxa" w:w="89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1-Butanol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1-Hexanol</w:t>
            </w:r>
          </w:p>
        </w:tc>
        <w:tc>
          <w:tcPr>
            <w:tcW w:type="dxa" w:w="98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1-Octanol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1-Nonanol</w:t>
            </w:r>
          </w:p>
        </w:tc>
        <w:tc>
          <w:tcPr>
            <w:tcW w:type="dxa" w:w="123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1-Tridecanol</w:t>
            </w:r>
          </w:p>
        </w:tc>
        <w:tc>
          <w:tcPr>
            <w:tcW w:type="dxa" w:w="143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1-Tetradecanol</w:t>
            </w:r>
          </w:p>
        </w:tc>
        <w:tc>
          <w:tcPr>
            <w:tcW w:type="dxa" w:w="140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1-Octadecanol</w:t>
            </w:r>
          </w:p>
        </w:tc>
      </w:tr>
      <w:tr>
        <w:tblPrEx>
          <w:shd w:val="clear" w:color="auto" w:fill="ceddeb"/>
        </w:tblPrEx>
        <w:trPr>
          <w:trHeight w:val="315" w:hRule="atLeast"/>
        </w:trPr>
        <w:tc>
          <w:tcPr>
            <w:tcW w:type="dxa" w:w="89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A</w:t>
            </w:r>
          </w:p>
        </w:tc>
        <w:tc>
          <w:tcPr>
            <w:tcW w:type="dxa" w:w="115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3:1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2:1</w:t>
            </w:r>
          </w:p>
        </w:tc>
        <w:tc>
          <w:tcPr>
            <w:tcW w:type="dxa" w:w="98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4:1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4:1</w:t>
            </w:r>
          </w:p>
        </w:tc>
        <w:tc>
          <w:tcPr>
            <w:tcW w:type="dxa" w:w="123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4:1</w:t>
            </w:r>
          </w:p>
        </w:tc>
        <w:tc>
          <w:tcPr>
            <w:tcW w:type="dxa" w:w="143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3:1</w:t>
            </w:r>
          </w:p>
        </w:tc>
        <w:tc>
          <w:tcPr>
            <w:tcW w:type="dxa" w:w="140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3:1</w:t>
            </w:r>
          </w:p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8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B</w:t>
            </w:r>
          </w:p>
        </w:tc>
        <w:tc>
          <w:tcPr>
            <w:tcW w:type="dxa" w:w="1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90</w:t>
            </w:r>
          </w:p>
        </w:tc>
        <w:tc>
          <w:tcPr>
            <w:tcW w:type="dxa" w:w="10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90</w:t>
            </w:r>
          </w:p>
        </w:tc>
        <w:tc>
          <w:tcPr>
            <w:tcW w:type="dxa" w:w="9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90</w:t>
            </w:r>
          </w:p>
        </w:tc>
        <w:tc>
          <w:tcPr>
            <w:tcW w:type="dxa" w:w="10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90</w:t>
            </w:r>
          </w:p>
        </w:tc>
        <w:tc>
          <w:tcPr>
            <w:tcW w:type="dxa" w:w="12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90</w:t>
            </w:r>
          </w:p>
        </w:tc>
        <w:tc>
          <w:tcPr>
            <w:tcW w:type="dxa" w:w="14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90</w:t>
            </w:r>
          </w:p>
        </w:tc>
        <w:tc>
          <w:tcPr>
            <w:tcW w:type="dxa" w:w="14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90</w:t>
            </w:r>
          </w:p>
        </w:tc>
      </w:tr>
      <w:tr>
        <w:tblPrEx>
          <w:shd w:val="clear" w:color="auto" w:fill="ceddeb"/>
        </w:tblPrEx>
        <w:trPr>
          <w:trHeight w:val="305" w:hRule="atLeast"/>
        </w:trPr>
        <w:tc>
          <w:tcPr>
            <w:tcW w:type="dxa" w:w="89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C</w:t>
            </w:r>
          </w:p>
        </w:tc>
        <w:tc>
          <w:tcPr>
            <w:tcW w:type="dxa" w:w="115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7</w:t>
            </w:r>
          </w:p>
        </w:tc>
        <w:tc>
          <w:tcPr>
            <w:tcW w:type="dxa" w:w="101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6</w:t>
            </w:r>
          </w:p>
        </w:tc>
        <w:tc>
          <w:tcPr>
            <w:tcW w:type="dxa" w:w="98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7</w:t>
            </w:r>
          </w:p>
        </w:tc>
        <w:tc>
          <w:tcPr>
            <w:tcW w:type="dxa" w:w="102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6</w:t>
            </w:r>
          </w:p>
        </w:tc>
        <w:tc>
          <w:tcPr>
            <w:tcW w:type="dxa" w:w="12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7</w:t>
            </w:r>
          </w:p>
        </w:tc>
        <w:tc>
          <w:tcPr>
            <w:tcW w:type="dxa" w:w="143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7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7</w:t>
            </w:r>
          </w:p>
        </w:tc>
      </w:tr>
    </w:tbl>
    <w:p>
      <w:pPr>
        <w:pStyle w:val="Body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ind w:left="108" w:hanging="108"/>
        <w:rPr>
          <w:rFonts w:ascii="Calibri" w:cs="Calibri" w:hAnsi="Calibri" w:eastAsia="Calibri"/>
          <w:kern w:val="2"/>
          <w:sz w:val="21"/>
          <w:szCs w:val="21"/>
          <w:u w:color="000000"/>
        </w:rPr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360" w:lineRule="auto"/>
        <w:ind w:firstLine="480"/>
        <w:jc w:val="center"/>
        <w:rPr>
          <w:rFonts w:ascii="Times New Roman" w:cs="Times New Roman" w:hAnsi="Times New Roman" w:eastAsia="Times New Roman"/>
          <w:color w:val="000000"/>
          <w:kern w:val="2"/>
          <w:sz w:val="24"/>
          <w:szCs w:val="24"/>
          <w:u w:color="000000"/>
        </w:rPr>
      </w:pPr>
      <w:r>
        <w:rPr>
          <w:rtl w:val="0"/>
          <w:lang w:val="en-US"/>
        </w:rPr>
        <w:t xml:space="preserve">Corrected </w:t>
      </w:r>
      <w:r>
        <w:rPr>
          <w:rtl w:val="0"/>
          <w:lang w:val="en-US"/>
        </w:rPr>
        <w:t xml:space="preserve"> </w:t>
      </w:r>
      <w:r>
        <w:rPr>
          <w:rFonts w:ascii="Times New Roman" w:hAnsi="Times New Roman"/>
          <w:color w:val="000000"/>
          <w:kern w:val="2"/>
          <w:sz w:val="24"/>
          <w:szCs w:val="24"/>
          <w:u w:color="000000"/>
          <w:rtl w:val="0"/>
          <w:lang w:val="en-US"/>
        </w:rPr>
        <w:t>Table 6. The viscosity of the oil based fracturing fluid</w:t>
      </w:r>
    </w:p>
    <w:tbl>
      <w:tblPr>
        <w:tblW w:w="915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942"/>
        <w:gridCol w:w="1050"/>
        <w:gridCol w:w="1013"/>
        <w:gridCol w:w="1051"/>
        <w:gridCol w:w="1027"/>
        <w:gridCol w:w="1230"/>
        <w:gridCol w:w="1437"/>
        <w:gridCol w:w="1400"/>
      </w:tblGrid>
      <w:tr>
        <w:tblPrEx>
          <w:shd w:val="clear" w:color="auto" w:fill="ceddeb"/>
        </w:tblPrEx>
        <w:trPr>
          <w:trHeight w:val="755" w:hRule="atLeast"/>
        </w:trPr>
        <w:tc>
          <w:tcPr>
            <w:tcW w:type="dxa" w:w="94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right"/>
              <w:rPr>
                <w:rFonts w:ascii="Times New Roman" w:cs="Times New Roman" w:hAnsi="Times New Roman" w:eastAsia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Name</w:t>
            </w:r>
          </w:p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Factor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1-Butanol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1-Hexanol</w:t>
            </w:r>
          </w:p>
        </w:tc>
        <w:tc>
          <w:tcPr>
            <w:tcW w:type="dxa" w:w="105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1-Octanol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1-Nonanol</w:t>
            </w:r>
          </w:p>
        </w:tc>
        <w:tc>
          <w:tcPr>
            <w:tcW w:type="dxa" w:w="123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1-Tridecanol</w:t>
            </w:r>
          </w:p>
        </w:tc>
        <w:tc>
          <w:tcPr>
            <w:tcW w:type="dxa" w:w="143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1-Tetradecanol</w:t>
            </w:r>
          </w:p>
        </w:tc>
        <w:tc>
          <w:tcPr>
            <w:tcW w:type="dxa" w:w="140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1-Octadecanol</w:t>
            </w:r>
          </w:p>
        </w:tc>
      </w:tr>
      <w:tr>
        <w:tblPrEx>
          <w:shd w:val="clear" w:color="auto" w:fill="ceddeb"/>
        </w:tblPrEx>
        <w:trPr>
          <w:trHeight w:val="755" w:hRule="atLeast"/>
        </w:trPr>
        <w:tc>
          <w:tcPr>
            <w:tcW w:type="dxa" w:w="94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 w:hint="default"/>
                <w:i w:val="1"/>
                <w:iCs w:val="1"/>
                <w:kern w:val="2"/>
                <w:sz w:val="24"/>
                <w:szCs w:val="24"/>
                <w:rtl w:val="0"/>
                <w:lang w:val="en-US"/>
              </w:rPr>
              <w:t>μ</w:t>
            </w: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, mPa</w:t>
            </w:r>
            <w:r>
              <w:rPr>
                <w:rFonts w:ascii="Times New Roman" w:hAnsi="Times New Roman" w:hint="default"/>
                <w:kern w:val="2"/>
                <w:sz w:val="24"/>
                <w:szCs w:val="24"/>
                <w:rtl w:val="0"/>
                <w:lang w:val="en-US"/>
              </w:rPr>
              <w:t>·</w:t>
            </w: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s</w:t>
            </w:r>
          </w:p>
        </w:tc>
        <w:tc>
          <w:tcPr>
            <w:tcW w:type="dxa" w:w="10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33.7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41.2</w:t>
            </w:r>
          </w:p>
        </w:tc>
        <w:tc>
          <w:tcPr>
            <w:tcW w:type="dxa" w:w="105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65.7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72.1</w:t>
            </w:r>
          </w:p>
        </w:tc>
        <w:tc>
          <w:tcPr>
            <w:tcW w:type="dxa" w:w="123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134.4</w:t>
            </w:r>
          </w:p>
        </w:tc>
        <w:tc>
          <w:tcPr>
            <w:tcW w:type="dxa" w:w="143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147.9</w:t>
            </w:r>
          </w:p>
        </w:tc>
        <w:tc>
          <w:tcPr>
            <w:tcW w:type="dxa" w:w="140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150.7</w:t>
            </w:r>
          </w:p>
        </w:tc>
      </w:tr>
    </w:tbl>
    <w:p>
      <w:pPr>
        <w:pStyle w:val="Body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ind w:left="108" w:hanging="108"/>
        <w:jc w:val="center"/>
        <w:rPr>
          <w:rFonts w:ascii="Times New Roman" w:cs="Times New Roman" w:hAnsi="Times New Roman" w:eastAsia="Times New Roman"/>
          <w:color w:val="000000"/>
          <w:kern w:val="2"/>
          <w:sz w:val="24"/>
          <w:szCs w:val="24"/>
          <w:u w:color="000000"/>
        </w:rPr>
      </w:pPr>
    </w:p>
    <w:p>
      <w:pPr>
        <w:pStyle w:val="Body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center"/>
        <w:rPr>
          <w:rFonts w:ascii="Times New Roman" w:cs="Times New Roman" w:hAnsi="Times New Roman" w:eastAsia="Times New Roman"/>
          <w:color w:val="000000"/>
          <w:kern w:val="2"/>
          <w:sz w:val="24"/>
          <w:szCs w:val="24"/>
          <w:u w:color="000000"/>
          <w:lang w:val="en-US"/>
        </w:rPr>
      </w:pPr>
    </w:p>
    <w:p>
      <w:pPr>
        <w:pStyle w:val="Body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center"/>
        <w:rPr>
          <w:rFonts w:ascii="Times New Roman" w:cs="Times New Roman" w:hAnsi="Times New Roman" w:eastAsia="Times New Roman"/>
          <w:color w:val="000000"/>
          <w:kern w:val="2"/>
          <w:sz w:val="24"/>
          <w:szCs w:val="24"/>
          <w:u w:color="000000"/>
          <w:lang w:val="en-US"/>
        </w:rPr>
      </w:pPr>
    </w:p>
    <w:p>
      <w:pPr>
        <w:pStyle w:val="Body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center"/>
        <w:rPr>
          <w:rFonts w:ascii="Times New Roman" w:cs="Times New Roman" w:hAnsi="Times New Roman" w:eastAsia="Times New Roman"/>
          <w:color w:val="000000"/>
          <w:kern w:val="2"/>
          <w:sz w:val="24"/>
          <w:szCs w:val="24"/>
          <w:u w:color="000000"/>
          <w:lang w:val="en-US"/>
        </w:rPr>
      </w:pPr>
    </w:p>
    <w:p>
      <w:pPr>
        <w:pStyle w:val="Body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360" w:lineRule="auto"/>
        <w:jc w:val="center"/>
        <w:rPr>
          <w:rFonts w:ascii="Times New Roman" w:cs="Times New Roman" w:hAnsi="Times New Roman" w:eastAsia="Times New Roman"/>
          <w:color w:val="000000"/>
          <w:kern w:val="2"/>
          <w:sz w:val="24"/>
          <w:szCs w:val="24"/>
          <w:u w:color="000000"/>
        </w:rPr>
      </w:pPr>
      <w:r>
        <w:rPr>
          <w:color w:val="000000"/>
          <w:kern w:val="2"/>
          <w:u w:color="000000"/>
          <w:rtl w:val="0"/>
          <w:lang w:val="en-US"/>
        </w:rPr>
        <w:t xml:space="preserve">Corrected </w:t>
      </w:r>
      <w:r>
        <w:rPr>
          <w:color w:val="000000"/>
          <w:kern w:val="2"/>
          <w:u w:color="000000"/>
          <w:rtl w:val="0"/>
          <w:lang w:val="en-US"/>
        </w:rPr>
        <w:t xml:space="preserve"> </w:t>
      </w:r>
      <w:bookmarkStart w:name="translation_sen_id4" w:id="1"/>
      <w:r>
        <w:rPr>
          <w:rFonts w:ascii="Times New Roman" w:hAnsi="Times New Roman"/>
          <w:color w:val="000000"/>
          <w:kern w:val="2"/>
          <w:sz w:val="24"/>
          <w:szCs w:val="24"/>
          <w:u w:color="000000"/>
          <w:rtl w:val="0"/>
          <w:lang w:val="en-US"/>
        </w:rPr>
        <w:t>Table 9. Optimal reaction conditions for the synthesis of dialkylphosphate with different alcohols</w:t>
      </w:r>
      <w:bookmarkEnd w:id="1"/>
    </w:p>
    <w:tbl>
      <w:tblPr>
        <w:tblW w:w="915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905"/>
        <w:gridCol w:w="1163"/>
        <w:gridCol w:w="1013"/>
        <w:gridCol w:w="996"/>
        <w:gridCol w:w="1006"/>
        <w:gridCol w:w="1231"/>
        <w:gridCol w:w="1436"/>
        <w:gridCol w:w="1400"/>
      </w:tblGrid>
      <w:tr>
        <w:tblPrEx>
          <w:shd w:val="clear" w:color="auto" w:fill="ceddeb"/>
        </w:tblPrEx>
        <w:trPr>
          <w:trHeight w:val="755" w:hRule="atLeast"/>
        </w:trPr>
        <w:tc>
          <w:tcPr>
            <w:tcW w:type="dxa" w:w="90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1-Butanol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1-Hexanol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1-Octanol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1-nonanol</w:t>
            </w:r>
          </w:p>
        </w:tc>
        <w:tc>
          <w:tcPr>
            <w:tcW w:type="dxa" w:w="123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1-Tridecanol</w:t>
            </w:r>
          </w:p>
        </w:tc>
        <w:tc>
          <w:tcPr>
            <w:tcW w:type="dxa" w:w="143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1-Tetradecanol</w:t>
            </w:r>
          </w:p>
        </w:tc>
        <w:tc>
          <w:tcPr>
            <w:tcW w:type="dxa" w:w="140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1-Octadecanol</w:t>
            </w:r>
          </w:p>
        </w:tc>
      </w:tr>
      <w:tr>
        <w:tblPrEx>
          <w:shd w:val="clear" w:color="auto" w:fill="ceddeb"/>
        </w:tblPrEx>
        <w:trPr>
          <w:trHeight w:val="315" w:hRule="atLeast"/>
        </w:trPr>
        <w:tc>
          <w:tcPr>
            <w:tcW w:type="dxa" w:w="90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A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4:1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4:1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4:1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4:1</w:t>
            </w:r>
          </w:p>
        </w:tc>
        <w:tc>
          <w:tcPr>
            <w:tcW w:type="dxa" w:w="123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4:1</w:t>
            </w:r>
          </w:p>
        </w:tc>
        <w:tc>
          <w:tcPr>
            <w:tcW w:type="dxa" w:w="143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4:1</w:t>
            </w:r>
          </w:p>
        </w:tc>
        <w:tc>
          <w:tcPr>
            <w:tcW w:type="dxa" w:w="140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4:1</w:t>
            </w:r>
          </w:p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9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B</w:t>
            </w:r>
          </w:p>
        </w:tc>
        <w:tc>
          <w:tcPr>
            <w:tcW w:type="dxa" w:w="11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90</w:t>
            </w:r>
          </w:p>
        </w:tc>
        <w:tc>
          <w:tcPr>
            <w:tcW w:type="dxa" w:w="10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85</w:t>
            </w:r>
          </w:p>
        </w:tc>
        <w:tc>
          <w:tcPr>
            <w:tcW w:type="dxa" w:w="9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85</w:t>
            </w:r>
          </w:p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85</w:t>
            </w:r>
          </w:p>
        </w:tc>
        <w:tc>
          <w:tcPr>
            <w:tcW w:type="dxa" w:w="12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90</w:t>
            </w:r>
          </w:p>
        </w:tc>
        <w:tc>
          <w:tcPr>
            <w:tcW w:type="dxa" w:w="14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85</w:t>
            </w:r>
          </w:p>
        </w:tc>
        <w:tc>
          <w:tcPr>
            <w:tcW w:type="dxa" w:w="14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90</w:t>
            </w:r>
          </w:p>
        </w:tc>
      </w:tr>
      <w:tr>
        <w:tblPrEx>
          <w:shd w:val="clear" w:color="auto" w:fill="ceddeb"/>
        </w:tblPrEx>
        <w:trPr>
          <w:trHeight w:val="305" w:hRule="atLeast"/>
        </w:trPr>
        <w:tc>
          <w:tcPr>
            <w:tcW w:type="dxa" w:w="90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C</w:t>
            </w:r>
          </w:p>
        </w:tc>
        <w:tc>
          <w:tcPr>
            <w:tcW w:type="dxa" w:w="116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7</w:t>
            </w:r>
          </w:p>
        </w:tc>
        <w:tc>
          <w:tcPr>
            <w:tcW w:type="dxa" w:w="101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8</w:t>
            </w:r>
          </w:p>
        </w:tc>
        <w:tc>
          <w:tcPr>
            <w:tcW w:type="dxa" w:w="99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8</w:t>
            </w:r>
          </w:p>
        </w:tc>
        <w:tc>
          <w:tcPr>
            <w:tcW w:type="dxa" w:w="100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8</w:t>
            </w:r>
          </w:p>
        </w:tc>
        <w:tc>
          <w:tcPr>
            <w:tcW w:type="dxa" w:w="12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7</w:t>
            </w:r>
          </w:p>
        </w:tc>
        <w:tc>
          <w:tcPr>
            <w:tcW w:type="dxa" w:w="143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7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8</w:t>
            </w:r>
          </w:p>
        </w:tc>
      </w:tr>
    </w:tbl>
    <w:p>
      <w:pPr>
        <w:pStyle w:val="Body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ind w:left="108" w:hanging="108"/>
        <w:jc w:val="center"/>
        <w:rPr>
          <w:rFonts w:ascii="Times New Roman" w:cs="Times New Roman" w:hAnsi="Times New Roman" w:eastAsia="Times New Roman"/>
          <w:color w:val="000000"/>
          <w:kern w:val="2"/>
          <w:sz w:val="24"/>
          <w:szCs w:val="24"/>
          <w:u w:color="000000"/>
        </w:rPr>
      </w:pPr>
    </w:p>
    <w:p>
      <w:pPr>
        <w:pStyle w:val="Body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center"/>
        <w:rPr>
          <w:rFonts w:ascii="Times New Roman" w:cs="Times New Roman" w:hAnsi="Times New Roman" w:eastAsia="Times New Roman"/>
          <w:color w:val="000000"/>
          <w:kern w:val="2"/>
          <w:sz w:val="24"/>
          <w:szCs w:val="24"/>
          <w:u w:color="000000"/>
          <w:lang w:val="en-US"/>
        </w:rPr>
      </w:pPr>
    </w:p>
    <w:p>
      <w:pPr>
        <w:pStyle w:val="Body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center"/>
        <w:rPr>
          <w:rFonts w:ascii="Times New Roman" w:cs="Times New Roman" w:hAnsi="Times New Roman" w:eastAsia="Times New Roman"/>
          <w:color w:val="000000"/>
          <w:kern w:val="2"/>
          <w:sz w:val="24"/>
          <w:szCs w:val="24"/>
          <w:u w:color="000000"/>
          <w:lang w:val="en-US"/>
        </w:rPr>
      </w:pPr>
    </w:p>
    <w:p>
      <w:pPr>
        <w:pStyle w:val="Body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center"/>
        <w:rPr>
          <w:rFonts w:ascii="Times New Roman" w:cs="Times New Roman" w:hAnsi="Times New Roman" w:eastAsia="Times New Roman"/>
          <w:color w:val="000000"/>
          <w:kern w:val="2"/>
          <w:sz w:val="24"/>
          <w:szCs w:val="24"/>
          <w:u w:color="000000"/>
          <w:lang w:val="en-US"/>
        </w:rPr>
      </w:pPr>
    </w:p>
    <w:p>
      <w:pPr>
        <w:pStyle w:val="Body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360" w:lineRule="auto"/>
        <w:jc w:val="center"/>
        <w:rPr>
          <w:rFonts w:ascii="Times New Roman" w:cs="Times New Roman" w:hAnsi="Times New Roman" w:eastAsia="Times New Roman"/>
          <w:color w:val="000000"/>
          <w:kern w:val="2"/>
          <w:sz w:val="24"/>
          <w:szCs w:val="24"/>
          <w:u w:color="000000"/>
        </w:rPr>
      </w:pPr>
      <w:r>
        <w:rPr>
          <w:color w:val="000000"/>
          <w:kern w:val="2"/>
          <w:u w:color="000000"/>
          <w:rtl w:val="0"/>
          <w:lang w:val="en-US"/>
        </w:rPr>
        <w:t xml:space="preserve">Corrected </w:t>
      </w:r>
      <w:r>
        <w:rPr>
          <w:color w:val="000000"/>
          <w:kern w:val="2"/>
          <w:u w:color="000000"/>
          <w:rtl w:val="0"/>
          <w:lang w:val="en-US"/>
        </w:rPr>
        <w:t xml:space="preserve"> </w:t>
      </w:r>
      <w:bookmarkStart w:name="translation_sen_id4" w:id="2"/>
      <w:r>
        <w:rPr>
          <w:rFonts w:ascii="Times New Roman" w:hAnsi="Times New Roman"/>
          <w:color w:val="000000"/>
          <w:kern w:val="2"/>
          <w:sz w:val="24"/>
          <w:szCs w:val="24"/>
          <w:u w:color="000000"/>
          <w:rtl w:val="0"/>
          <w:lang w:val="en-US"/>
        </w:rPr>
        <w:t>Table 10. The viscosity of the oil based fracturing fluids</w:t>
      </w:r>
    </w:p>
    <w:tbl>
      <w:tblPr>
        <w:tblW w:w="915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084"/>
        <w:gridCol w:w="1052"/>
        <w:gridCol w:w="1013"/>
        <w:gridCol w:w="960"/>
        <w:gridCol w:w="974"/>
        <w:gridCol w:w="1231"/>
        <w:gridCol w:w="1436"/>
        <w:gridCol w:w="1400"/>
      </w:tblGrid>
      <w:tr>
        <w:tblPrEx>
          <w:shd w:val="clear" w:color="auto" w:fill="ceddeb"/>
        </w:tblPrEx>
        <w:trPr>
          <w:trHeight w:val="755" w:hRule="atLeast"/>
        </w:trPr>
        <w:tc>
          <w:tcPr>
            <w:tcW w:type="dxa" w:w="108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  <w:jc w:val="right"/>
              <w:rPr>
                <w:rFonts w:ascii="Times New Roman" w:cs="Times New Roman" w:hAnsi="Times New Roman" w:eastAsia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Name</w:t>
            </w:r>
          </w:p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Factor</w:t>
            </w:r>
          </w:p>
        </w:tc>
        <w:tc>
          <w:tcPr>
            <w:tcW w:type="dxa" w:w="105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1-Butanol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1-Hexanol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1-Octanol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1-nonanol</w:t>
            </w:r>
          </w:p>
        </w:tc>
        <w:tc>
          <w:tcPr>
            <w:tcW w:type="dxa" w:w="123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1-Tridecanol</w:t>
            </w:r>
          </w:p>
        </w:tc>
        <w:tc>
          <w:tcPr>
            <w:tcW w:type="dxa" w:w="143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1-Tetradecanol</w:t>
            </w:r>
          </w:p>
        </w:tc>
        <w:tc>
          <w:tcPr>
            <w:tcW w:type="dxa" w:w="140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1-Octadecanol</w:t>
            </w:r>
          </w:p>
        </w:tc>
      </w:tr>
      <w:tr>
        <w:tblPrEx>
          <w:shd w:val="clear" w:color="auto" w:fill="ceddeb"/>
        </w:tblPrEx>
        <w:trPr>
          <w:trHeight w:val="620" w:hRule="atLeast"/>
        </w:trPr>
        <w:tc>
          <w:tcPr>
            <w:tcW w:type="dxa" w:w="108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 w:hint="default"/>
                <w:i w:val="1"/>
                <w:iCs w:val="1"/>
                <w:kern w:val="2"/>
                <w:sz w:val="24"/>
                <w:szCs w:val="24"/>
                <w:rtl w:val="0"/>
                <w:lang w:val="en-US"/>
              </w:rPr>
              <w:t>μ</w:t>
            </w: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, mPa</w:t>
            </w:r>
            <w:r>
              <w:rPr>
                <w:rFonts w:ascii="Times New Roman" w:hAnsi="Times New Roman" w:hint="default"/>
                <w:kern w:val="2"/>
                <w:sz w:val="24"/>
                <w:szCs w:val="24"/>
                <w:rtl w:val="0"/>
                <w:lang w:val="en-US"/>
              </w:rPr>
              <w:t>·</w:t>
            </w: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s</w:t>
            </w:r>
          </w:p>
        </w:tc>
        <w:tc>
          <w:tcPr>
            <w:tcW w:type="dxa" w:w="105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36.3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52.2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87.4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104.8</w:t>
            </w:r>
          </w:p>
        </w:tc>
        <w:tc>
          <w:tcPr>
            <w:tcW w:type="dxa" w:w="123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181.48</w:t>
            </w:r>
          </w:p>
        </w:tc>
        <w:tc>
          <w:tcPr>
            <w:tcW w:type="dxa" w:w="143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194.08</w:t>
            </w:r>
          </w:p>
        </w:tc>
        <w:tc>
          <w:tcPr>
            <w:tcW w:type="dxa" w:w="140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200.03</w:t>
            </w:r>
          </w:p>
        </w:tc>
      </w:tr>
    </w:tbl>
    <w:p>
      <w:pPr>
        <w:pStyle w:val="Body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ind w:left="108" w:hanging="108"/>
        <w:jc w:val="center"/>
      </w:pPr>
      <w:r>
        <w:rPr>
          <w:rFonts w:ascii="Times New Roman" w:cs="Times New Roman" w:hAnsi="Times New Roman" w:eastAsia="Times New Roman"/>
          <w:color w:val="000000"/>
          <w:kern w:val="2"/>
          <w:sz w:val="24"/>
          <w:szCs w:val="24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