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8C" w:rsidRDefault="004B3E9F" w:rsidP="005D038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Извод</w:t>
      </w:r>
    </w:p>
    <w:p w:rsidR="004B3E9F" w:rsidRPr="004B3E9F" w:rsidRDefault="004B3E9F" w:rsidP="005D038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Синтеза, карактериѕација и антимикробна активност нових бензофуран- и тиофен-супституисаних деривата дикетоксима</w:t>
      </w:r>
    </w:p>
    <w:p w:rsidR="005D038C" w:rsidRPr="009773B3" w:rsidRDefault="004B3E9F" w:rsidP="005D038C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9773B3">
        <w:rPr>
          <w:rFonts w:ascii="Times New Roman" w:hAnsi="Times New Roman"/>
          <w:sz w:val="24"/>
          <w:szCs w:val="24"/>
        </w:rPr>
        <w:t>Demet Coskun</w:t>
      </w:r>
      <w:r w:rsidRPr="009773B3">
        <w:rPr>
          <w:rFonts w:ascii="Times New Roman" w:hAnsi="Times New Roman"/>
          <w:sz w:val="24"/>
          <w:szCs w:val="24"/>
          <w:vertAlign w:val="superscript"/>
        </w:rPr>
        <w:t>1*</w:t>
      </w:r>
      <w:r w:rsidRPr="009773B3">
        <w:rPr>
          <w:rFonts w:ascii="Times New Roman" w:hAnsi="Times New Roman"/>
          <w:sz w:val="24"/>
          <w:szCs w:val="24"/>
        </w:rPr>
        <w:t>, Seher Gur</w:t>
      </w:r>
      <w:r w:rsidRPr="009773B3">
        <w:rPr>
          <w:rFonts w:ascii="Times New Roman" w:hAnsi="Times New Roman"/>
          <w:sz w:val="24"/>
          <w:szCs w:val="24"/>
          <w:vertAlign w:val="superscript"/>
        </w:rPr>
        <w:t>2</w:t>
      </w:r>
      <w:r w:rsidRPr="009773B3">
        <w:rPr>
          <w:rFonts w:ascii="Times New Roman" w:hAnsi="Times New Roman"/>
          <w:sz w:val="24"/>
          <w:szCs w:val="24"/>
        </w:rPr>
        <w:t>, Mehmet Fatih Coskun</w:t>
      </w:r>
      <w:r w:rsidRPr="009773B3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D038C" w:rsidRPr="009773B3" w:rsidRDefault="005D038C" w:rsidP="005D038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773B3">
        <w:rPr>
          <w:rFonts w:ascii="Times New Roman" w:hAnsi="Times New Roman"/>
          <w:i/>
          <w:sz w:val="24"/>
          <w:szCs w:val="24"/>
          <w:vertAlign w:val="superscript"/>
        </w:rPr>
        <w:t xml:space="preserve">1 </w:t>
      </w:r>
      <w:r w:rsidRPr="009773B3">
        <w:rPr>
          <w:rFonts w:ascii="Times New Roman" w:hAnsi="Times New Roman"/>
          <w:i/>
          <w:sz w:val="24"/>
          <w:szCs w:val="24"/>
        </w:rPr>
        <w:t>Uni</w:t>
      </w:r>
      <w:bookmarkStart w:id="0" w:name="_GoBack"/>
      <w:bookmarkEnd w:id="0"/>
      <w:r w:rsidRPr="009773B3">
        <w:rPr>
          <w:rFonts w:ascii="Times New Roman" w:hAnsi="Times New Roman"/>
          <w:i/>
          <w:sz w:val="24"/>
          <w:szCs w:val="24"/>
        </w:rPr>
        <w:t>versity of Fırat, Faculty of Science, Department of Chemistry , 23119 Elazığ-Turkey.</w:t>
      </w:r>
    </w:p>
    <w:p w:rsidR="005D038C" w:rsidRPr="00B153CE" w:rsidRDefault="005D038C" w:rsidP="005D03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3B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9773B3">
        <w:rPr>
          <w:rFonts w:ascii="Times New Roman" w:hAnsi="Times New Roman"/>
          <w:i/>
          <w:sz w:val="24"/>
          <w:szCs w:val="24"/>
        </w:rPr>
        <w:t xml:space="preserve"> University of Fırat, Faculty of Science, Department of Biology , 23119 Elazığ-Turkey</w:t>
      </w:r>
      <w:r w:rsidRPr="00B153CE">
        <w:rPr>
          <w:rFonts w:ascii="Times New Roman" w:hAnsi="Times New Roman"/>
          <w:sz w:val="24"/>
          <w:szCs w:val="24"/>
        </w:rPr>
        <w:t>.</w:t>
      </w:r>
    </w:p>
    <w:p w:rsidR="005D038C" w:rsidRPr="00B153CE" w:rsidRDefault="005D038C" w:rsidP="004B3E9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B3E9F" w:rsidRPr="004B3E9F" w:rsidRDefault="004B3E9F" w:rsidP="005D038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Извод:</w:t>
      </w:r>
      <w:r>
        <w:rPr>
          <w:rFonts w:ascii="Times New Roman" w:hAnsi="Times New Roman"/>
          <w:sz w:val="24"/>
          <w:szCs w:val="24"/>
          <w:lang w:val="sr-Cyrl-RS"/>
        </w:rPr>
        <w:t xml:space="preserve"> Описана је синтеза тиофен</w:t>
      </w:r>
      <w:r w:rsidRPr="00B153CE">
        <w:rPr>
          <w:rFonts w:ascii="Times New Roman" w:hAnsi="Times New Roman"/>
          <w:sz w:val="24"/>
          <w:szCs w:val="24"/>
        </w:rPr>
        <w:t>-2,5-</w:t>
      </w:r>
      <w:r>
        <w:rPr>
          <w:rFonts w:ascii="Times New Roman" w:hAnsi="Times New Roman"/>
          <w:sz w:val="24"/>
          <w:szCs w:val="24"/>
          <w:lang w:val="sr-Cyrl-RS"/>
        </w:rPr>
        <w:t>диил</w:t>
      </w:r>
      <w:r w:rsidRPr="00B15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бис</w:t>
      </w:r>
      <w:r w:rsidRPr="00B153CE">
        <w:rPr>
          <w:rFonts w:ascii="Times New Roman" w:hAnsi="Times New Roman"/>
          <w:sz w:val="24"/>
          <w:szCs w:val="24"/>
        </w:rPr>
        <w:t>(1-</w:t>
      </w:r>
      <w:r>
        <w:rPr>
          <w:rFonts w:ascii="Times New Roman" w:hAnsi="Times New Roman"/>
          <w:sz w:val="24"/>
          <w:szCs w:val="24"/>
          <w:lang w:val="sr-Cyrl-RS"/>
        </w:rPr>
        <w:t>бензофуран</w:t>
      </w:r>
      <w:r w:rsidRPr="00B153CE">
        <w:rPr>
          <w:rFonts w:ascii="Times New Roman" w:hAnsi="Times New Roman"/>
          <w:sz w:val="24"/>
          <w:szCs w:val="24"/>
        </w:rPr>
        <w:t>-2-</w:t>
      </w:r>
      <w:r>
        <w:rPr>
          <w:rFonts w:ascii="Times New Roman" w:hAnsi="Times New Roman"/>
          <w:sz w:val="24"/>
          <w:szCs w:val="24"/>
          <w:lang w:val="sr-Cyrl-RS"/>
        </w:rPr>
        <w:t>ил</w:t>
      </w:r>
      <w:r w:rsidRPr="00B153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метанон</w:t>
      </w:r>
      <w:r w:rsidRPr="00B153CE">
        <w:rPr>
          <w:rFonts w:ascii="Times New Roman" w:hAnsi="Times New Roman"/>
          <w:sz w:val="24"/>
          <w:szCs w:val="24"/>
        </w:rPr>
        <w:t xml:space="preserve"> (</w:t>
      </w:r>
      <w:r w:rsidRPr="004B3E9F">
        <w:rPr>
          <w:rFonts w:ascii="Times New Roman" w:hAnsi="Times New Roman"/>
          <w:b/>
          <w:sz w:val="24"/>
          <w:szCs w:val="24"/>
        </w:rPr>
        <w:t>2</w:t>
      </w:r>
      <w:r w:rsidRPr="00B153CE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sr-Cyrl-RS"/>
        </w:rPr>
        <w:t xml:space="preserve"> одговарајућих дикетоксима (</w:t>
      </w:r>
      <w:r w:rsidRPr="004B3E9F">
        <w:rPr>
          <w:rFonts w:ascii="Times New Roman" w:hAnsi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) и етарских и естарских деривата дикетоксима (</w:t>
      </w:r>
      <w:r w:rsidRPr="004B3E9F">
        <w:rPr>
          <w:rFonts w:ascii="Times New Roman" w:hAnsi="Times New Roman"/>
          <w:b/>
          <w:sz w:val="24"/>
          <w:szCs w:val="24"/>
          <w:lang w:val="sr-Cyrl-RS"/>
        </w:rPr>
        <w:t>4а-е</w:t>
      </w:r>
      <w:r>
        <w:rPr>
          <w:rFonts w:ascii="Times New Roman" w:hAnsi="Times New Roman"/>
          <w:sz w:val="24"/>
          <w:szCs w:val="24"/>
          <w:lang w:val="sr-Cyrl-RS"/>
        </w:rPr>
        <w:t xml:space="preserve">). Једињења су синтетисана у добром приносу. Одређена је минимална инхибиторна активност </w:t>
      </w:r>
      <w:r w:rsidRPr="00B153CE">
        <w:rPr>
          <w:rFonts w:ascii="Times New Roman" w:hAnsi="Times New Roman"/>
          <w:sz w:val="24"/>
          <w:szCs w:val="24"/>
        </w:rPr>
        <w:t>(</w:t>
      </w:r>
      <w:r w:rsidRPr="004B3E9F">
        <w:rPr>
          <w:rFonts w:ascii="Times New Roman" w:hAnsi="Times New Roman"/>
          <w:sz w:val="24"/>
          <w:szCs w:val="24"/>
        </w:rPr>
        <w:t>MIC</w:t>
      </w:r>
      <w:r w:rsidRPr="00B153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 синтетисаних једињења </w:t>
      </w:r>
      <w:r w:rsidRPr="00B153CE">
        <w:rPr>
          <w:rFonts w:ascii="Times New Roman" w:hAnsi="Times New Roman"/>
          <w:b/>
          <w:sz w:val="24"/>
          <w:szCs w:val="24"/>
        </w:rPr>
        <w:t>1,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B153CE">
        <w:rPr>
          <w:rFonts w:ascii="Times New Roman" w:hAnsi="Times New Roman"/>
          <w:b/>
          <w:sz w:val="24"/>
          <w:szCs w:val="24"/>
        </w:rPr>
        <w:t>2,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B153CE">
        <w:rPr>
          <w:rFonts w:ascii="Times New Roman" w:hAnsi="Times New Roman"/>
          <w:b/>
          <w:sz w:val="24"/>
          <w:szCs w:val="24"/>
        </w:rPr>
        <w:t>3</w:t>
      </w:r>
      <w:r w:rsidRPr="004B3E9F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153CE">
        <w:rPr>
          <w:rFonts w:ascii="Times New Roman" w:hAnsi="Times New Roman"/>
          <w:b/>
          <w:sz w:val="24"/>
          <w:szCs w:val="24"/>
        </w:rPr>
        <w:t>4a-e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према </w:t>
      </w:r>
      <w:r w:rsidRPr="00B153CE">
        <w:rPr>
          <w:rFonts w:ascii="Times New Roman" w:hAnsi="Times New Roman"/>
          <w:i/>
          <w:sz w:val="24"/>
          <w:szCs w:val="24"/>
        </w:rPr>
        <w:t xml:space="preserve">Salmonella typhimurium </w:t>
      </w:r>
      <w:r w:rsidRPr="004F221D">
        <w:rPr>
          <w:rFonts w:ascii="Times New Roman" w:hAnsi="Times New Roman"/>
          <w:sz w:val="24"/>
          <w:szCs w:val="24"/>
        </w:rPr>
        <w:t>(NRRL 4413),</w:t>
      </w:r>
      <w:r w:rsidRPr="00B153CE">
        <w:rPr>
          <w:rFonts w:ascii="Times New Roman" w:hAnsi="Times New Roman"/>
          <w:i/>
          <w:sz w:val="24"/>
          <w:szCs w:val="24"/>
        </w:rPr>
        <w:t xml:space="preserve"> Escherichia coli </w:t>
      </w:r>
      <w:r w:rsidRPr="004F221D">
        <w:rPr>
          <w:rFonts w:ascii="Times New Roman" w:hAnsi="Times New Roman"/>
          <w:sz w:val="24"/>
          <w:szCs w:val="24"/>
        </w:rPr>
        <w:t>(ATCC 25922)</w:t>
      </w:r>
      <w:r w:rsidRPr="00B15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B153CE">
        <w:rPr>
          <w:rFonts w:ascii="Times New Roman" w:hAnsi="Times New Roman"/>
          <w:sz w:val="24"/>
          <w:szCs w:val="24"/>
        </w:rPr>
        <w:t xml:space="preserve"> </w:t>
      </w:r>
      <w:r w:rsidRPr="00B153CE">
        <w:rPr>
          <w:rFonts w:ascii="Times New Roman" w:hAnsi="Times New Roman"/>
          <w:i/>
          <w:sz w:val="24"/>
          <w:szCs w:val="24"/>
        </w:rPr>
        <w:t xml:space="preserve">Staphylococcus aureus </w:t>
      </w:r>
      <w:r w:rsidRPr="004F221D">
        <w:rPr>
          <w:rFonts w:ascii="Times New Roman" w:hAnsi="Times New Roman"/>
          <w:sz w:val="24"/>
          <w:szCs w:val="24"/>
        </w:rPr>
        <w:t>(ATCC 6538).</w:t>
      </w:r>
      <w:r>
        <w:rPr>
          <w:rFonts w:ascii="Times New Roman" w:hAnsi="Times New Roman"/>
          <w:sz w:val="24"/>
          <w:szCs w:val="24"/>
          <w:lang w:val="sr-Cyrl-RS"/>
        </w:rPr>
        <w:t xml:space="preserve"> Од синтетисаних једињења, деривати </w:t>
      </w:r>
      <w:r w:rsidRPr="004B3E9F">
        <w:rPr>
          <w:rFonts w:ascii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4B3E9F">
        <w:rPr>
          <w:rFonts w:ascii="Times New Roman" w:hAnsi="Times New Roman"/>
          <w:b/>
          <w:sz w:val="24"/>
          <w:szCs w:val="24"/>
          <w:lang w:val="sr-Cyrl-RS"/>
        </w:rPr>
        <w:t>4е</w:t>
      </w:r>
      <w:r>
        <w:rPr>
          <w:rFonts w:ascii="Times New Roman" w:hAnsi="Times New Roman"/>
          <w:sz w:val="24"/>
          <w:szCs w:val="24"/>
          <w:lang w:val="sr-Cyrl-RS"/>
        </w:rPr>
        <w:t xml:space="preserve"> показују добру активност према </w:t>
      </w:r>
      <w:r w:rsidRPr="00B153CE">
        <w:rPr>
          <w:rFonts w:ascii="Times New Roman" w:hAnsi="Times New Roman"/>
          <w:i/>
          <w:sz w:val="24"/>
          <w:szCs w:val="24"/>
        </w:rPr>
        <w:t xml:space="preserve">E.coli </w:t>
      </w:r>
      <w:r w:rsidRPr="004F221D">
        <w:rPr>
          <w:rFonts w:ascii="Times New Roman" w:hAnsi="Times New Roman"/>
          <w:sz w:val="24"/>
          <w:szCs w:val="24"/>
        </w:rPr>
        <w:t>(ATCC 25922</w:t>
      </w:r>
      <w:r>
        <w:rPr>
          <w:rFonts w:ascii="Times New Roman" w:hAnsi="Times New Roman"/>
          <w:sz w:val="24"/>
          <w:szCs w:val="24"/>
        </w:rPr>
        <w:t>)</w:t>
      </w:r>
      <w:r w:rsidRPr="00B153CE">
        <w:rPr>
          <w:rFonts w:ascii="Times New Roman" w:hAnsi="Times New Roman"/>
          <w:i/>
          <w:sz w:val="24"/>
          <w:szCs w:val="24"/>
        </w:rPr>
        <w:t xml:space="preserve">, S.typhimurium </w:t>
      </w:r>
      <w:r w:rsidRPr="004F221D">
        <w:rPr>
          <w:rFonts w:ascii="Times New Roman" w:hAnsi="Times New Roman"/>
          <w:sz w:val="24"/>
          <w:szCs w:val="24"/>
        </w:rPr>
        <w:t>(NRRL 4413</w:t>
      </w:r>
      <w:r>
        <w:rPr>
          <w:rFonts w:ascii="Times New Roman" w:hAnsi="Times New Roman"/>
          <w:sz w:val="24"/>
          <w:szCs w:val="24"/>
        </w:rPr>
        <w:t>)</w:t>
      </w:r>
      <w:r w:rsidRPr="00B15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B153CE">
        <w:rPr>
          <w:rFonts w:ascii="Times New Roman" w:hAnsi="Times New Roman"/>
          <w:sz w:val="24"/>
          <w:szCs w:val="24"/>
        </w:rPr>
        <w:t xml:space="preserve"> </w:t>
      </w:r>
      <w:r w:rsidRPr="00B153CE">
        <w:rPr>
          <w:rFonts w:ascii="Times New Roman" w:hAnsi="Times New Roman"/>
          <w:i/>
          <w:sz w:val="24"/>
          <w:szCs w:val="24"/>
        </w:rPr>
        <w:t xml:space="preserve">S.aureus </w:t>
      </w:r>
      <w:r>
        <w:rPr>
          <w:rFonts w:ascii="Times New Roman" w:hAnsi="Times New Roman"/>
          <w:sz w:val="24"/>
          <w:szCs w:val="24"/>
        </w:rPr>
        <w:t>(</w:t>
      </w:r>
      <w:r w:rsidRPr="004F221D">
        <w:rPr>
          <w:rFonts w:ascii="Times New Roman" w:hAnsi="Times New Roman"/>
          <w:sz w:val="24"/>
          <w:szCs w:val="24"/>
        </w:rPr>
        <w:t>ATCC 6538</w:t>
      </w:r>
      <w:r>
        <w:rPr>
          <w:rFonts w:ascii="Times New Roman" w:hAnsi="Times New Roman"/>
          <w:sz w:val="24"/>
          <w:szCs w:val="24"/>
        </w:rPr>
        <w:t>)</w:t>
      </w:r>
      <w:r w:rsidRPr="004F221D">
        <w:rPr>
          <w:rFonts w:ascii="Times New Roman" w:hAnsi="Times New Roman"/>
          <w:sz w:val="24"/>
          <w:szCs w:val="24"/>
        </w:rPr>
        <w:t>.</w:t>
      </w:r>
    </w:p>
    <w:sectPr w:rsidR="004B3E9F" w:rsidRPr="004B3E9F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C"/>
    <w:rsid w:val="0018752E"/>
    <w:rsid w:val="004B3E9F"/>
    <w:rsid w:val="005D038C"/>
    <w:rsid w:val="00B853D9"/>
    <w:rsid w:val="00CD10E5"/>
    <w:rsid w:val="00F60F0C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8C"/>
    <w:pPr>
      <w:spacing w:after="200" w:line="276" w:lineRule="auto"/>
    </w:pPr>
    <w:rPr>
      <w:rFonts w:ascii="Calibri" w:eastAsia="Times New Roman" w:hAnsi="Calibri" w:cs="Times New Roman"/>
      <w:noProof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8C"/>
    <w:pPr>
      <w:spacing w:after="200" w:line="276" w:lineRule="auto"/>
    </w:pPr>
    <w:rPr>
      <w:rFonts w:ascii="Calibri" w:eastAsia="Times New Roman" w:hAnsi="Calibri" w:cs="Times New Roman"/>
      <w:noProof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2</cp:revision>
  <dcterms:created xsi:type="dcterms:W3CDTF">2016-12-13T17:00:00Z</dcterms:created>
  <dcterms:modified xsi:type="dcterms:W3CDTF">2016-12-13T17:11:00Z</dcterms:modified>
</cp:coreProperties>
</file>