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7" w:rsidRDefault="003E2B28">
      <w:r w:rsidRPr="003E2B28">
        <w:drawing>
          <wp:inline distT="0" distB="0" distL="0" distR="0">
            <wp:extent cx="4751357" cy="2976113"/>
            <wp:effectExtent l="0" t="0" r="0" b="0"/>
            <wp:docPr id="13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E2B28" w:rsidRPr="00D45195" w:rsidRDefault="003E2B28" w:rsidP="003E2B28">
      <w:pPr>
        <w:pStyle w:val="normal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Fig. 5.</w:t>
      </w:r>
      <w:proofErr w:type="gram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Effect of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polysaccharidic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extracts from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Isochrysis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galbana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(PEA) and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Nannochloropsis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oculata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(PEB) on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anticholinesterase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activity. The results were expressed as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butyrylcholinesterase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inhibition percentage (%). Error bars represent the standard deviation calculated from triplicate experiments.</w:t>
      </w:r>
    </w:p>
    <w:p w:rsidR="003E2B28" w:rsidRPr="003E2B28" w:rsidRDefault="003E2B28">
      <w:pPr>
        <w:rPr>
          <w:lang w:val="en-US"/>
        </w:rPr>
      </w:pPr>
    </w:p>
    <w:sectPr w:rsidR="003E2B28" w:rsidRPr="003E2B28" w:rsidSect="003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2B28"/>
    <w:rsid w:val="00390C37"/>
    <w:rsid w:val="003E2B28"/>
    <w:rsid w:val="005B57C6"/>
    <w:rsid w:val="009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2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E2B28"/>
    <w:pPr>
      <w:widowControl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17\Downloads\donn&#233;es%20figures%20article%2020160627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7505119336718444"/>
          <c:y val="0.12849847526284691"/>
          <c:w val="0.78059492563429567"/>
          <c:h val="0.67521216097987768"/>
        </c:manualLayout>
      </c:layout>
      <c:scatterChart>
        <c:scatterStyle val="smoothMarker"/>
        <c:ser>
          <c:idx val="0"/>
          <c:order val="0"/>
          <c:tx>
            <c:v>PEA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errBars>
            <c:errDir val="y"/>
            <c:errBarType val="both"/>
            <c:errValType val="cust"/>
            <c:plus>
              <c:numRef>
                <c:f>Feuil5!$C$12:$I$12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0.35000000000000031</c:v>
                  </c:pt>
                  <c:pt idx="2">
                    <c:v>0.16</c:v>
                  </c:pt>
                  <c:pt idx="3">
                    <c:v>0.72000000000000064</c:v>
                  </c:pt>
                  <c:pt idx="4">
                    <c:v>0.12000000000000002</c:v>
                  </c:pt>
                  <c:pt idx="5">
                    <c:v>0.12000000000000002</c:v>
                  </c:pt>
                </c:numCache>
              </c:numRef>
            </c:plus>
            <c:minus>
              <c:numRef>
                <c:f>Feuil5!$C$12:$I$12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0.35000000000000031</c:v>
                  </c:pt>
                  <c:pt idx="2">
                    <c:v>0.16</c:v>
                  </c:pt>
                  <c:pt idx="3">
                    <c:v>0.72000000000000064</c:v>
                  </c:pt>
                  <c:pt idx="4">
                    <c:v>0.12000000000000002</c:v>
                  </c:pt>
                  <c:pt idx="5">
                    <c:v>0.12000000000000002</c:v>
                  </c:pt>
                </c:numCache>
              </c:numRef>
            </c:minus>
          </c:errBars>
          <c:xVal>
            <c:numRef>
              <c:f>Feuil5!$C$4:$H$4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Feuil5!$C$5:$H$5</c:f>
              <c:numCache>
                <c:formatCode>General</c:formatCode>
                <c:ptCount val="6"/>
                <c:pt idx="0">
                  <c:v>0</c:v>
                </c:pt>
                <c:pt idx="1">
                  <c:v>1.25</c:v>
                </c:pt>
                <c:pt idx="2">
                  <c:v>1.62</c:v>
                </c:pt>
                <c:pt idx="3">
                  <c:v>2.5099999999999998</c:v>
                </c:pt>
                <c:pt idx="4">
                  <c:v>4.3599999999999985</c:v>
                </c:pt>
                <c:pt idx="5">
                  <c:v>7.3</c:v>
                </c:pt>
              </c:numCache>
            </c:numRef>
          </c:yVal>
          <c:smooth val="1"/>
        </c:ser>
        <c:ser>
          <c:idx val="1"/>
          <c:order val="1"/>
          <c:tx>
            <c:v>PEB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Feuil5!$C$6:$I$6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0.25</c:v>
                  </c:pt>
                  <c:pt idx="2">
                    <c:v>0.51</c:v>
                  </c:pt>
                  <c:pt idx="3">
                    <c:v>0.11</c:v>
                  </c:pt>
                  <c:pt idx="4">
                    <c:v>0.14000000000000001</c:v>
                  </c:pt>
                  <c:pt idx="5">
                    <c:v>0.48000000000000032</c:v>
                  </c:pt>
                </c:numCache>
              </c:numRef>
            </c:plus>
            <c:minus>
              <c:numRef>
                <c:f>Feuil5!$C$6:$I$6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0.25</c:v>
                  </c:pt>
                  <c:pt idx="2">
                    <c:v>0.51</c:v>
                  </c:pt>
                  <c:pt idx="3">
                    <c:v>0.11</c:v>
                  </c:pt>
                  <c:pt idx="4">
                    <c:v>0.14000000000000001</c:v>
                  </c:pt>
                  <c:pt idx="5">
                    <c:v>0.48000000000000032</c:v>
                  </c:pt>
                </c:numCache>
              </c:numRef>
            </c:minus>
          </c:errBars>
          <c:xVal>
            <c:numRef>
              <c:f>Feuil5!$C$10:$H$10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Feuil5!$C$11:$H$11</c:f>
              <c:numCache>
                <c:formatCode>General</c:formatCode>
                <c:ptCount val="6"/>
                <c:pt idx="0">
                  <c:v>0</c:v>
                </c:pt>
                <c:pt idx="1">
                  <c:v>2.15</c:v>
                </c:pt>
                <c:pt idx="2">
                  <c:v>8.5500000000000007</c:v>
                </c:pt>
                <c:pt idx="3">
                  <c:v>9.08</c:v>
                </c:pt>
                <c:pt idx="4">
                  <c:v>9.4</c:v>
                </c:pt>
                <c:pt idx="5">
                  <c:v>11.53</c:v>
                </c:pt>
              </c:numCache>
            </c:numRef>
          </c:yVal>
          <c:smooth val="1"/>
        </c:ser>
        <c:axId val="116451968"/>
        <c:axId val="87216896"/>
      </c:scatterChart>
      <c:valAx>
        <c:axId val="116451968"/>
        <c:scaling>
          <c:orientation val="minMax"/>
          <c:max val="30"/>
        </c:scaling>
        <c:axPos val="b"/>
        <c:title>
          <c:tx>
            <c:rich>
              <a:bodyPr/>
              <a:lstStyle/>
              <a:p>
                <a:pPr>
                  <a:defRPr lang="en-US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Time,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min</a:t>
                </a:r>
              </a:p>
            </c:rich>
          </c:tx>
          <c:layout>
            <c:manualLayout>
              <c:xMode val="edge"/>
              <c:yMode val="edge"/>
              <c:x val="0.46376392670542349"/>
              <c:y val="0.9114007858844210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 sz="1200"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87216896"/>
        <c:crosses val="autoZero"/>
        <c:crossBetween val="midCat"/>
        <c:majorUnit val="10"/>
      </c:valAx>
      <c:valAx>
        <c:axId val="872168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1" i="0" u="none" strike="noStrike" baseline="0"/>
                  <a:t>BChE </a:t>
                </a:r>
                <a:r>
                  <a:rPr lang="en-GB" sz="1200" b="1" i="0" u="none" strike="noStrike" baseline="0"/>
                  <a:t> inhibition, % 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3225942551573374E-2"/>
              <c:y val="0.2158348125559454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 sz="1200" b="1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16451968"/>
        <c:crosses val="autoZero"/>
        <c:crossBetween val="midCat"/>
        <c:majorUnit val="5"/>
      </c:valAx>
      <c:spPr>
        <a:noFill/>
      </c:spPr>
    </c:plotArea>
    <c:legend>
      <c:legendPos val="r"/>
      <c:layout>
        <c:manualLayout>
          <c:xMode val="edge"/>
          <c:yMode val="edge"/>
          <c:x val="0.63904020408663864"/>
          <c:y val="1.4131354967912261E-2"/>
          <c:w val="0.32856104201928032"/>
          <c:h val="0.13936734786764443"/>
        </c:manualLayout>
      </c:layout>
      <c:txPr>
        <a:bodyPr/>
        <a:lstStyle/>
        <a:p>
          <a:pPr>
            <a:defRPr lang="en-US" sz="1200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2017-03-23T08:48:00Z</dcterms:created>
  <dcterms:modified xsi:type="dcterms:W3CDTF">2017-03-23T08:48:00Z</dcterms:modified>
</cp:coreProperties>
</file>