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3A" w:rsidRDefault="00E2680D" w:rsidP="00640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80D">
        <w:rPr>
          <w:rFonts w:ascii="Times New Roman" w:hAnsi="Times New Roman" w:cs="Times New Roman"/>
          <w:b/>
          <w:sz w:val="24"/>
          <w:szCs w:val="24"/>
        </w:rPr>
        <w:t>Authors Response to Reviewers Comments</w:t>
      </w:r>
    </w:p>
    <w:p w:rsidR="00E2680D" w:rsidRPr="00E2680D" w:rsidRDefault="009B0656" w:rsidP="006407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</w:t>
      </w:r>
      <w:r w:rsidR="00E2680D">
        <w:rPr>
          <w:rFonts w:ascii="Times New Roman" w:hAnsi="Times New Roman" w:cs="Times New Roman"/>
          <w:b/>
          <w:sz w:val="24"/>
          <w:szCs w:val="24"/>
        </w:rPr>
        <w:t>: 1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2680D" w:rsidTr="00E2680D">
        <w:tc>
          <w:tcPr>
            <w:tcW w:w="4788" w:type="dxa"/>
          </w:tcPr>
          <w:p w:rsidR="00E2680D" w:rsidRPr="00E2680D" w:rsidRDefault="00E2680D" w:rsidP="0064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0D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  <w:tc>
          <w:tcPr>
            <w:tcW w:w="4788" w:type="dxa"/>
          </w:tcPr>
          <w:p w:rsidR="00E2680D" w:rsidRPr="00E2680D" w:rsidRDefault="00E2680D" w:rsidP="00640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80D">
              <w:rPr>
                <w:rFonts w:ascii="Times New Roman" w:hAnsi="Times New Roman" w:cs="Times New Roman"/>
                <w:b/>
                <w:sz w:val="24"/>
                <w:szCs w:val="24"/>
              </w:rPr>
              <w:t>Answers</w:t>
            </w:r>
          </w:p>
        </w:tc>
      </w:tr>
      <w:tr w:rsidR="00E2680D" w:rsidTr="00E2680D">
        <w:tc>
          <w:tcPr>
            <w:tcW w:w="4788" w:type="dxa"/>
          </w:tcPr>
          <w:p w:rsidR="000966CF" w:rsidRPr="00C11C63" w:rsidRDefault="009B0656" w:rsidP="0064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p.2, lines 35-38, sentence is not clear and correct, should be corrected.</w:t>
            </w:r>
          </w:p>
        </w:tc>
        <w:tc>
          <w:tcPr>
            <w:tcW w:w="4788" w:type="dxa"/>
          </w:tcPr>
          <w:p w:rsidR="00AC35D7" w:rsidRDefault="00A17456" w:rsidP="0064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Correction has been made</w:t>
            </w:r>
          </w:p>
        </w:tc>
      </w:tr>
      <w:tr w:rsidR="00C11C63" w:rsidTr="00E2680D">
        <w:tc>
          <w:tcPr>
            <w:tcW w:w="4788" w:type="dxa"/>
          </w:tcPr>
          <w:p w:rsidR="00C11C63" w:rsidRDefault="009B0656" w:rsidP="0064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p.2, lines 38-40, sentence is not clear and should be corrected.</w:t>
            </w:r>
          </w:p>
        </w:tc>
        <w:tc>
          <w:tcPr>
            <w:tcW w:w="4788" w:type="dxa"/>
          </w:tcPr>
          <w:p w:rsidR="00C11C63" w:rsidRDefault="00C5645E" w:rsidP="0064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Correction has been made</w:t>
            </w:r>
          </w:p>
        </w:tc>
      </w:tr>
      <w:tr w:rsidR="00E2680D" w:rsidTr="00E2680D">
        <w:tc>
          <w:tcPr>
            <w:tcW w:w="4788" w:type="dxa"/>
          </w:tcPr>
          <w:p w:rsidR="00AC35D7" w:rsidRDefault="009B0656" w:rsidP="0064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p.2, lines 44-45, sentence is not clear and should be corrected.</w:t>
            </w:r>
          </w:p>
        </w:tc>
        <w:tc>
          <w:tcPr>
            <w:tcW w:w="4788" w:type="dxa"/>
          </w:tcPr>
          <w:p w:rsidR="00AC35D7" w:rsidRDefault="00C5645E" w:rsidP="0064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Correction has been made</w:t>
            </w:r>
          </w:p>
        </w:tc>
      </w:tr>
      <w:tr w:rsidR="00E2680D" w:rsidTr="00E2680D">
        <w:tc>
          <w:tcPr>
            <w:tcW w:w="4788" w:type="dxa"/>
          </w:tcPr>
          <w:p w:rsidR="00AC35D7" w:rsidRDefault="009B0656" w:rsidP="0064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p.2, lines 49-53, sentences are not clear and should be corrected.</w:t>
            </w:r>
          </w:p>
        </w:tc>
        <w:tc>
          <w:tcPr>
            <w:tcW w:w="4788" w:type="dxa"/>
          </w:tcPr>
          <w:p w:rsidR="006656DB" w:rsidRPr="006656DB" w:rsidRDefault="00C5645E" w:rsidP="0064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Correction has been made</w:t>
            </w:r>
          </w:p>
        </w:tc>
      </w:tr>
      <w:tr w:rsidR="00E2680D" w:rsidTr="00E2680D">
        <w:tc>
          <w:tcPr>
            <w:tcW w:w="4788" w:type="dxa"/>
          </w:tcPr>
          <w:p w:rsidR="00AC35D7" w:rsidRDefault="009B0656" w:rsidP="009B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p.2, lines 55-56, sentence is not clear and should be corrected, eg. The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size of cellulase enzyme molecule can be INCREASED by immobilization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techniques......</w:t>
            </w:r>
          </w:p>
        </w:tc>
        <w:tc>
          <w:tcPr>
            <w:tcW w:w="4788" w:type="dxa"/>
          </w:tcPr>
          <w:p w:rsidR="00E2680D" w:rsidRDefault="00182CF3" w:rsidP="0064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Correction has been made</w:t>
            </w:r>
          </w:p>
          <w:p w:rsidR="00AC35D7" w:rsidRDefault="00AC35D7" w:rsidP="0064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656" w:rsidTr="00E2680D">
        <w:tc>
          <w:tcPr>
            <w:tcW w:w="4788" w:type="dxa"/>
          </w:tcPr>
          <w:p w:rsidR="009B0656" w:rsidRDefault="009B0656" w:rsidP="009B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Running title should be corrected, e.g. Structure and properties of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biopolished cellulose</w:t>
            </w:r>
          </w:p>
        </w:tc>
        <w:tc>
          <w:tcPr>
            <w:tcW w:w="4788" w:type="dxa"/>
          </w:tcPr>
          <w:p w:rsidR="009B0656" w:rsidRDefault="003C0F47" w:rsidP="0064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Correction has been made</w:t>
            </w:r>
          </w:p>
        </w:tc>
      </w:tr>
      <w:tr w:rsidR="009B0656" w:rsidTr="00E2680D">
        <w:tc>
          <w:tcPr>
            <w:tcW w:w="4788" w:type="dxa"/>
          </w:tcPr>
          <w:p w:rsidR="009B0656" w:rsidRDefault="009B0656" w:rsidP="009B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Fig.1 as authors st</w:t>
            </w:r>
            <w:r w:rsidR="007440E1">
              <w:rPr>
                <w:rFonts w:ascii="Times New Roman" w:hAnsi="Times New Roman" w:cs="Times New Roman"/>
                <w:sz w:val="24"/>
                <w:szCs w:val="24"/>
              </w:rPr>
              <w:t>ated in the Introduction part "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endoglucanase randomly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 xml:space="preserve">attacks cellulose chains ", but according to the scheme given in fig.1 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looks like endoglucanase splits intermolecular H-bonds. Fig. 1 should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corrected.</w:t>
            </w:r>
          </w:p>
        </w:tc>
        <w:tc>
          <w:tcPr>
            <w:tcW w:w="4788" w:type="dxa"/>
          </w:tcPr>
          <w:p w:rsidR="009B0656" w:rsidRDefault="008F7722" w:rsidP="0064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Correction has been made</w:t>
            </w:r>
          </w:p>
        </w:tc>
      </w:tr>
      <w:tr w:rsidR="009B0656" w:rsidTr="00E2680D">
        <w:tc>
          <w:tcPr>
            <w:tcW w:w="4788" w:type="dxa"/>
          </w:tcPr>
          <w:p w:rsidR="009B0656" w:rsidRDefault="009B0656" w:rsidP="000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p.4, lines 90-92, authors stated that they biopolished cotton fibric using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both soluble and immobilized cellul</w:t>
            </w:r>
            <w:r w:rsidR="000F248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se (bet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er term free and immobilized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enzyme), and at three concentration. In the case of free enzyme it is clea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r,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but in the case of immobilized enzyme what is meaning of "three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concentrations of cellulase 1, 2, and 3 % on-weight of 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bric (owf),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" 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3 % of what?</w:t>
            </w:r>
            <w:r w:rsidR="00657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 xml:space="preserve">Authors did not stated that they determined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immobilized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enzyme content.</w:t>
            </w:r>
          </w:p>
        </w:tc>
        <w:tc>
          <w:tcPr>
            <w:tcW w:w="4788" w:type="dxa"/>
          </w:tcPr>
          <w:p w:rsidR="009B0656" w:rsidRPr="00704A0E" w:rsidRDefault="00C5645E" w:rsidP="00C56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Necessary correction has been made</w:t>
            </w:r>
          </w:p>
        </w:tc>
      </w:tr>
      <w:tr w:rsidR="009B0656" w:rsidTr="00E2680D">
        <w:tc>
          <w:tcPr>
            <w:tcW w:w="4788" w:type="dxa"/>
          </w:tcPr>
          <w:p w:rsidR="009B0656" w:rsidRDefault="009B0656" w:rsidP="009B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p.6. Using Methylene Blue Absorption Test to evaluate cellulose degradation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 xml:space="preserve">is inappropriate. </w:t>
            </w:r>
            <w:r w:rsidR="000F2480" w:rsidRPr="009B0656">
              <w:rPr>
                <w:rFonts w:ascii="Times New Roman" w:hAnsi="Times New Roman" w:cs="Times New Roman"/>
                <w:sz w:val="24"/>
                <w:szCs w:val="24"/>
              </w:rPr>
              <w:t>These tests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 xml:space="preserve"> should be used in the case of cellulose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oxidation to evaluate COOH group content, possibly to evaluate changes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orption properties. In the case of cellulose chain depolimerisation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resulting in increase of reducing end group content, Cu-number should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used.</w:t>
            </w:r>
          </w:p>
        </w:tc>
        <w:tc>
          <w:tcPr>
            <w:tcW w:w="4788" w:type="dxa"/>
          </w:tcPr>
          <w:p w:rsidR="000F2480" w:rsidRDefault="00657357" w:rsidP="000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A0E">
              <w:rPr>
                <w:rFonts w:ascii="Times New Roman" w:hAnsi="Times New Roman" w:cs="Times New Roman"/>
                <w:sz w:val="24"/>
                <w:szCs w:val="24"/>
              </w:rPr>
              <w:t xml:space="preserve">Methylene blue absorption test can be used to evaluate </w:t>
            </w:r>
            <w:r w:rsidR="00704A0E" w:rsidRPr="00704A0E">
              <w:rPr>
                <w:rFonts w:ascii="Times New Roman" w:hAnsi="Times New Roman" w:cs="Times New Roman"/>
                <w:sz w:val="24"/>
                <w:szCs w:val="24"/>
              </w:rPr>
              <w:t>hydrolytic degradation</w:t>
            </w:r>
            <w:r w:rsidR="000F2480">
              <w:rPr>
                <w:rFonts w:ascii="Times New Roman" w:hAnsi="Times New Roman" w:cs="Times New Roman"/>
                <w:sz w:val="24"/>
                <w:szCs w:val="24"/>
              </w:rPr>
              <w:t>. From the following references, the methylene blue absorption method was taken for to analyse the cellulose degradation.</w:t>
            </w:r>
          </w:p>
          <w:p w:rsidR="000F2480" w:rsidRDefault="000F2480" w:rsidP="000F2480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F248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04A0E" w:rsidRPr="000F2480">
              <w:rPr>
                <w:rFonts w:ascii="Times New Roman" w:hAnsi="Times New Roman" w:cs="Times New Roman"/>
                <w:sz w:val="24"/>
                <w:szCs w:val="24"/>
              </w:rPr>
              <w:t>erkel, R. S.1984. Methods for analyzing damage in textile materials. In </w:t>
            </w:r>
            <w:r w:rsidR="00704A0E" w:rsidRPr="000F2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Analytical methods for the textile laboratory</w:t>
            </w:r>
            <w:r w:rsidR="00704A0E" w:rsidRPr="000F2480">
              <w:rPr>
                <w:rFonts w:ascii="Times New Roman" w:hAnsi="Times New Roman" w:cs="Times New Roman"/>
                <w:sz w:val="24"/>
                <w:szCs w:val="24"/>
              </w:rPr>
              <w:t xml:space="preserve">, ed. J. W.Weaver. Research Triangle Park, N.C.: </w:t>
            </w:r>
            <w:r w:rsidR="00704A0E" w:rsidRPr="000F2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American Association for Textile Chemists and Colorists. and </w:t>
            </w:r>
          </w:p>
          <w:p w:rsidR="009B0656" w:rsidRPr="000F2480" w:rsidRDefault="00704A0E" w:rsidP="000F2480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F2480">
              <w:rPr>
                <w:rFonts w:ascii="Times New Roman" w:hAnsi="Times New Roman" w:cs="Times New Roman"/>
                <w:sz w:val="24"/>
                <w:szCs w:val="24"/>
              </w:rPr>
              <w:t>Carr, C., ed. </w:t>
            </w:r>
            <w:r w:rsidRPr="000F2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Chemistry of the textiles industry</w:t>
            </w:r>
            <w:r w:rsidRPr="000F2480">
              <w:rPr>
                <w:rFonts w:ascii="Times New Roman" w:hAnsi="Times New Roman" w:cs="Times New Roman"/>
                <w:sz w:val="24"/>
                <w:szCs w:val="24"/>
              </w:rPr>
              <w:t>. Springer Science &amp; Business Media, 2012</w:t>
            </w:r>
            <w:r w:rsidR="000F2480" w:rsidRPr="000F2480">
              <w:rPr>
                <w:rFonts w:ascii="Times New Roman" w:hAnsi="Times New Roman" w:cs="Times New Roman"/>
                <w:sz w:val="24"/>
                <w:szCs w:val="24"/>
              </w:rPr>
              <w:t xml:space="preserve"> was taken for the </w:t>
            </w:r>
          </w:p>
        </w:tc>
      </w:tr>
      <w:tr w:rsidR="009B0656" w:rsidTr="00E2680D">
        <w:tc>
          <w:tcPr>
            <w:tcW w:w="4788" w:type="dxa"/>
          </w:tcPr>
          <w:p w:rsidR="009B0656" w:rsidRPr="009B0656" w:rsidRDefault="009B0656" w:rsidP="009B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p.6 ATR-FTIR analysis, Discussion should be improved, authors should compare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and evaluate whole FTIR spectra, since from them they can observed changes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in total crystallinity index (TCI) (Nelson and O’Connor 1964), lateral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order index (LOI) (O’Connor et al. 1958) and hydrogen bonding intensity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(HBI) (Nada et al. 2000).</w:t>
            </w:r>
          </w:p>
        </w:tc>
        <w:tc>
          <w:tcPr>
            <w:tcW w:w="4788" w:type="dxa"/>
          </w:tcPr>
          <w:p w:rsidR="009B0656" w:rsidRDefault="008F7722" w:rsidP="000F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Whole FTIR spectra </w:t>
            </w:r>
            <w:r w:rsidR="000F2480">
              <w:rPr>
                <w:rFonts w:ascii="Times New Roman" w:hAnsi="Times New Roman" w:cs="Times New Roman"/>
                <w:sz w:val="24"/>
                <w:szCs w:val="24"/>
              </w:rPr>
              <w:t xml:space="preserve">were incorporated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TCI, HBI, </w:t>
            </w:r>
            <w:r w:rsidR="000F2480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LOI has been</w:t>
            </w:r>
            <w:r w:rsidR="000F2480">
              <w:rPr>
                <w:rFonts w:ascii="Times New Roman" w:hAnsi="Times New Roman" w:cs="Times New Roman"/>
                <w:sz w:val="24"/>
                <w:szCs w:val="24"/>
              </w:rPr>
              <w:t xml:space="preserve"> derived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incorporated in the text</w:t>
            </w:r>
            <w:r w:rsidR="000F2480">
              <w:rPr>
                <w:rFonts w:ascii="Times New Roman" w:hAnsi="Times New Roman" w:cs="Times New Roman"/>
                <w:sz w:val="24"/>
                <w:szCs w:val="24"/>
              </w:rPr>
              <w:t xml:space="preserve"> as per the reviewers comment</w:t>
            </w:r>
          </w:p>
        </w:tc>
      </w:tr>
      <w:tr w:rsidR="009B0656" w:rsidTr="00E2680D">
        <w:tc>
          <w:tcPr>
            <w:tcW w:w="4788" w:type="dxa"/>
          </w:tcPr>
          <w:p w:rsidR="009B0656" w:rsidRPr="009B0656" w:rsidRDefault="009B0656" w:rsidP="009B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p.7, XRD analysis: Discussion is unclear, the interpretations are 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understandable...e.g. " THE CRYSTALLINITY INDEX (CRI) OF IMMOBILIZED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CELLULASE was lower than the cotton fabric treated with soluble cellulase</w:t>
            </w:r>
          </w:p>
          <w:p w:rsidR="009B0656" w:rsidRDefault="009B0656" w:rsidP="009B0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because the immobilized cellulase is limited to the surface whereas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soluble enzyme penetrates to the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nner structure of the fabric. "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determined CrI of cotton fabric not immoblized cellulase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In the experimental part data about instrument, model and producer, as well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as conditions for recording spectra, are miss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9B0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9B0656" w:rsidRDefault="00E50032" w:rsidP="0064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Necessary corrections has been made</w:t>
            </w:r>
          </w:p>
        </w:tc>
      </w:tr>
    </w:tbl>
    <w:p w:rsidR="006407F9" w:rsidRDefault="006407F9" w:rsidP="006407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BE5" w:rsidRPr="00912BE5" w:rsidRDefault="003D1E4D" w:rsidP="006407F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</w:t>
      </w:r>
      <w:r w:rsidR="00912BE5">
        <w:rPr>
          <w:rFonts w:ascii="Times New Roman" w:hAnsi="Times New Roman" w:cs="Times New Roman"/>
          <w:b/>
          <w:sz w:val="24"/>
          <w:szCs w:val="24"/>
        </w:rPr>
        <w:t>: 2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12BE5" w:rsidTr="00912BE5">
        <w:tc>
          <w:tcPr>
            <w:tcW w:w="4788" w:type="dxa"/>
          </w:tcPr>
          <w:p w:rsidR="00912BE5" w:rsidRPr="009F4597" w:rsidRDefault="009F4597" w:rsidP="009F4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7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  <w:tc>
          <w:tcPr>
            <w:tcW w:w="4788" w:type="dxa"/>
          </w:tcPr>
          <w:p w:rsidR="00912BE5" w:rsidRPr="009F4597" w:rsidRDefault="009F4597" w:rsidP="009F4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597">
              <w:rPr>
                <w:rFonts w:ascii="Times New Roman" w:hAnsi="Times New Roman" w:cs="Times New Roman"/>
                <w:b/>
                <w:sz w:val="24"/>
                <w:szCs w:val="24"/>
              </w:rPr>
              <w:t>Answers</w:t>
            </w:r>
          </w:p>
        </w:tc>
      </w:tr>
      <w:tr w:rsidR="00912BE5" w:rsidTr="00912BE5">
        <w:tc>
          <w:tcPr>
            <w:tcW w:w="4788" w:type="dxa"/>
          </w:tcPr>
          <w:p w:rsidR="009F4597" w:rsidRDefault="00AA7B5B" w:rsidP="003D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The manuscript does not have enough information about immobilization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procedure, conA isolation, and informat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ion about immobilized enzyme.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example: page 4 line 78, the concentration and pH value of tris buffer is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missing;</w:t>
            </w:r>
          </w:p>
        </w:tc>
        <w:tc>
          <w:tcPr>
            <w:tcW w:w="4788" w:type="dxa"/>
          </w:tcPr>
          <w:p w:rsidR="009F4597" w:rsidRDefault="009A709E" w:rsidP="00E2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Necessary corrections have been made</w:t>
            </w:r>
          </w:p>
        </w:tc>
      </w:tr>
      <w:tr w:rsidR="00912BE5" w:rsidTr="00912BE5">
        <w:tc>
          <w:tcPr>
            <w:tcW w:w="4788" w:type="dxa"/>
          </w:tcPr>
          <w:p w:rsidR="009F4597" w:rsidRDefault="00AA7B5B" w:rsidP="003D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line 85 the storage condition is missing, if it is stored dry I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have doubt about enzyme native structure and its further activity.</w:t>
            </w:r>
          </w:p>
        </w:tc>
        <w:tc>
          <w:tcPr>
            <w:tcW w:w="4788" w:type="dxa"/>
          </w:tcPr>
          <w:p w:rsidR="002F577B" w:rsidRPr="000F2480" w:rsidRDefault="004B4C33" w:rsidP="000F248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Prepared immobilized cellulase </w:t>
            </w:r>
            <w:r w:rsidR="000F2480">
              <w:rPr>
                <w:rFonts w:ascii="Times New Roman" w:hAnsi="Times New Roman" w:cs="Times New Roman"/>
                <w:sz w:val="24"/>
                <w:szCs w:val="24"/>
              </w:rPr>
              <w:t>beads were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stored in 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 Enzyme retained upto 100% activity when stored at 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for a month.</w:t>
            </w:r>
            <w:r w:rsidR="000F2480">
              <w:rPr>
                <w:rFonts w:ascii="Times New Roman" w:hAnsi="Times New Roman" w:cs="Times New Roman"/>
                <w:sz w:val="24"/>
                <w:szCs w:val="24"/>
              </w:rPr>
              <w:t xml:space="preserve"> Storage stability of the beads were studied and the results were published in (</w:t>
            </w:r>
            <w:r w:rsidR="000F2480" w:rsidRPr="00BD7DE0">
              <w:rPr>
                <w:rFonts w:ascii="Times New Roman" w:hAnsi="Times New Roman" w:cs="Times New Roman"/>
                <w:iCs/>
                <w:sz w:val="24"/>
                <w:szCs w:val="24"/>
              </w:rPr>
              <w:t>S. Nisha, N. Gobi,</w:t>
            </w:r>
            <w:r w:rsidR="000F248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0F2480" w:rsidRPr="00BD7D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F2480" w:rsidRPr="00F23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Biocatal. Biotransfor</w:t>
            </w:r>
            <w:r w:rsidR="000F2480" w:rsidRPr="00F23D0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0F2480" w:rsidRPr="00BD7D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F2480" w:rsidRPr="00BD7D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33</w:t>
            </w:r>
            <w:r w:rsidR="000F24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(2015) 81</w:t>
            </w:r>
          </w:p>
        </w:tc>
      </w:tr>
      <w:tr w:rsidR="00912BE5" w:rsidTr="00912BE5">
        <w:tc>
          <w:tcPr>
            <w:tcW w:w="4788" w:type="dxa"/>
          </w:tcPr>
          <w:p w:rsidR="00A53BF7" w:rsidRDefault="00AA7B5B" w:rsidP="003D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should present much more information about enzymes (both free and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immobilized) before the usage of “new product” (immobilized enzyme) if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 xml:space="preserve">it is not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published earlier.</w:t>
            </w:r>
          </w:p>
        </w:tc>
        <w:tc>
          <w:tcPr>
            <w:tcW w:w="4788" w:type="dxa"/>
          </w:tcPr>
          <w:p w:rsidR="009A709E" w:rsidRPr="00BD7DE0" w:rsidRDefault="009A709E" w:rsidP="009A709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It has been already explained in our previous </w:t>
            </w:r>
            <w:r w:rsidR="000F2480">
              <w:rPr>
                <w:rFonts w:ascii="Times New Roman" w:hAnsi="Times New Roman" w:cs="Times New Roman"/>
                <w:sz w:val="24"/>
                <w:szCs w:val="24"/>
              </w:rPr>
              <w:t xml:space="preserve">work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  <w:r w:rsidR="008A7D3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0F2480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BD7DE0">
              <w:rPr>
                <w:rFonts w:ascii="Times New Roman" w:hAnsi="Times New Roman" w:cs="Times New Roman"/>
                <w:iCs/>
                <w:sz w:val="24"/>
                <w:szCs w:val="24"/>
              </w:rPr>
              <w:t>S. Nisha, N. Gobi</w:t>
            </w:r>
            <w:r w:rsidR="000F248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BD7D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F23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Biocatal. Biotransfor</w:t>
            </w:r>
            <w:r w:rsidRPr="00F23D0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BD7D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D7D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(2015) 81</w:t>
            </w:r>
          </w:p>
          <w:p w:rsidR="009A709E" w:rsidRDefault="009A709E" w:rsidP="00D7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BE5" w:rsidTr="00912BE5">
        <w:tc>
          <w:tcPr>
            <w:tcW w:w="4788" w:type="dxa"/>
          </w:tcPr>
          <w:p w:rsidR="003D1E4D" w:rsidRPr="003D1E4D" w:rsidRDefault="00AA7B5B" w:rsidP="003D1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In my opinion it is necessary first to describe</w:t>
            </w:r>
          </w:p>
          <w:p w:rsidR="006407F9" w:rsidRDefault="000F2480" w:rsidP="000F2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4D">
              <w:rPr>
                <w:rFonts w:ascii="Times New Roman" w:hAnsi="Times New Roman" w:cs="Times New Roman"/>
                <w:sz w:val="24"/>
                <w:szCs w:val="24"/>
              </w:rPr>
              <w:t>in detail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 xml:space="preserve"> im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mobilization procedure, then in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detail characterized the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immobilized enzyme and compare with soluble form and then focused onto the</w:t>
            </w:r>
            <w:r w:rsidR="003D1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E4D" w:rsidRPr="003D1E4D">
              <w:rPr>
                <w:rFonts w:ascii="Times New Roman" w:hAnsi="Times New Roman" w:cs="Times New Roman"/>
                <w:sz w:val="24"/>
                <w:szCs w:val="24"/>
              </w:rPr>
              <w:t>condition of use the new biocatalyst and its effects on cotton.</w:t>
            </w:r>
          </w:p>
        </w:tc>
        <w:tc>
          <w:tcPr>
            <w:tcW w:w="4788" w:type="dxa"/>
          </w:tcPr>
          <w:p w:rsidR="00C5645E" w:rsidRPr="00D76FDB" w:rsidRDefault="000F2480" w:rsidP="008A7D3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procedure for immobilization has been incorporated and elaborated p</w:t>
            </w:r>
            <w:r w:rsidR="009A709E">
              <w:rPr>
                <w:rFonts w:ascii="Times New Roman" w:hAnsi="Times New Roman" w:cs="Times New Roman"/>
                <w:sz w:val="24"/>
                <w:szCs w:val="24"/>
              </w:rPr>
              <w:t>rocedure, characterization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709E">
              <w:rPr>
                <w:rFonts w:ascii="Times New Roman" w:hAnsi="Times New Roman" w:cs="Times New Roman"/>
                <w:sz w:val="24"/>
                <w:szCs w:val="24"/>
              </w:rPr>
              <w:t xml:space="preserve"> and comparison between soluble and immobilized enzyme has been explained in our previous paper and it has been published</w:t>
            </w:r>
            <w:r w:rsidR="008A7D32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="00BA7A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709E" w:rsidRPr="00BD7DE0">
              <w:rPr>
                <w:rFonts w:ascii="Times New Roman" w:hAnsi="Times New Roman" w:cs="Times New Roman"/>
                <w:iCs/>
                <w:sz w:val="24"/>
                <w:szCs w:val="24"/>
              </w:rPr>
              <w:t>S. Nisha, N. Gobi,</w:t>
            </w:r>
            <w:r w:rsidR="00BA7AA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9A709E" w:rsidRPr="00BD7D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A709E" w:rsidRPr="00F23D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Biocatal. Biotransfor</w:t>
            </w:r>
            <w:r w:rsidR="009A709E" w:rsidRPr="00F23D0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9A709E" w:rsidRPr="00BD7DE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A709E" w:rsidRPr="00BD7D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33</w:t>
            </w:r>
            <w:r w:rsidR="009A70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(2015) 8</w:t>
            </w:r>
            <w:r w:rsidR="00C5645E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</w:tr>
    </w:tbl>
    <w:p w:rsidR="00912BE5" w:rsidRDefault="00912BE5" w:rsidP="008F7722">
      <w:pPr>
        <w:rPr>
          <w:rFonts w:ascii="Times New Roman" w:hAnsi="Times New Roman" w:cs="Times New Roman"/>
          <w:sz w:val="24"/>
          <w:szCs w:val="24"/>
        </w:rPr>
      </w:pPr>
    </w:p>
    <w:sectPr w:rsidR="00912BE5" w:rsidSect="00A42F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534" w:rsidRDefault="00625534" w:rsidP="000F2480">
      <w:pPr>
        <w:spacing w:after="0" w:line="240" w:lineRule="auto"/>
      </w:pPr>
      <w:r>
        <w:separator/>
      </w:r>
    </w:p>
  </w:endnote>
  <w:endnote w:type="continuationSeparator" w:id="1">
    <w:p w:rsidR="00625534" w:rsidRDefault="00625534" w:rsidP="000F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1577"/>
      <w:docPartObj>
        <w:docPartGallery w:val="Page Numbers (Bottom of Page)"/>
        <w:docPartUnique/>
      </w:docPartObj>
    </w:sdtPr>
    <w:sdtContent>
      <w:p w:rsidR="000F2480" w:rsidRDefault="000F2480">
        <w:pPr>
          <w:pStyle w:val="Footer"/>
          <w:jc w:val="center"/>
        </w:pPr>
        <w:fldSimple w:instr=" PAGE   \* MERGEFORMAT ">
          <w:r w:rsidR="008A7D32">
            <w:rPr>
              <w:noProof/>
            </w:rPr>
            <w:t>2</w:t>
          </w:r>
        </w:fldSimple>
      </w:p>
    </w:sdtContent>
  </w:sdt>
  <w:p w:rsidR="000F2480" w:rsidRDefault="000F24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534" w:rsidRDefault="00625534" w:rsidP="000F2480">
      <w:pPr>
        <w:spacing w:after="0" w:line="240" w:lineRule="auto"/>
      </w:pPr>
      <w:r>
        <w:separator/>
      </w:r>
    </w:p>
  </w:footnote>
  <w:footnote w:type="continuationSeparator" w:id="1">
    <w:p w:rsidR="00625534" w:rsidRDefault="00625534" w:rsidP="000F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A4878"/>
    <w:multiLevelType w:val="hybridMultilevel"/>
    <w:tmpl w:val="F33873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80D"/>
    <w:rsid w:val="00006485"/>
    <w:rsid w:val="00041D80"/>
    <w:rsid w:val="000613D8"/>
    <w:rsid w:val="00067F05"/>
    <w:rsid w:val="000966CF"/>
    <w:rsid w:val="000F2480"/>
    <w:rsid w:val="001148A3"/>
    <w:rsid w:val="00134351"/>
    <w:rsid w:val="00181BC5"/>
    <w:rsid w:val="00182CF3"/>
    <w:rsid w:val="00274097"/>
    <w:rsid w:val="002D0F6D"/>
    <w:rsid w:val="002F577B"/>
    <w:rsid w:val="00320771"/>
    <w:rsid w:val="00322641"/>
    <w:rsid w:val="0033008D"/>
    <w:rsid w:val="003C0F47"/>
    <w:rsid w:val="003D1E4D"/>
    <w:rsid w:val="003E6850"/>
    <w:rsid w:val="003F5E90"/>
    <w:rsid w:val="004606FF"/>
    <w:rsid w:val="0048787A"/>
    <w:rsid w:val="00493986"/>
    <w:rsid w:val="004B4C33"/>
    <w:rsid w:val="00534179"/>
    <w:rsid w:val="005474B7"/>
    <w:rsid w:val="00551FCF"/>
    <w:rsid w:val="00574BCB"/>
    <w:rsid w:val="00586CF7"/>
    <w:rsid w:val="005C1F1D"/>
    <w:rsid w:val="005F37EA"/>
    <w:rsid w:val="00603DD2"/>
    <w:rsid w:val="00625534"/>
    <w:rsid w:val="006407F9"/>
    <w:rsid w:val="00657357"/>
    <w:rsid w:val="006656DB"/>
    <w:rsid w:val="0067507D"/>
    <w:rsid w:val="006A296B"/>
    <w:rsid w:val="006B226D"/>
    <w:rsid w:val="006D1E5B"/>
    <w:rsid w:val="006D42D5"/>
    <w:rsid w:val="006D7C04"/>
    <w:rsid w:val="00704A0E"/>
    <w:rsid w:val="00711E27"/>
    <w:rsid w:val="007440E1"/>
    <w:rsid w:val="00753DC0"/>
    <w:rsid w:val="007B00A7"/>
    <w:rsid w:val="007C1071"/>
    <w:rsid w:val="00804E70"/>
    <w:rsid w:val="0081504A"/>
    <w:rsid w:val="00842842"/>
    <w:rsid w:val="00852F97"/>
    <w:rsid w:val="008A7D32"/>
    <w:rsid w:val="008B2FB4"/>
    <w:rsid w:val="008F7722"/>
    <w:rsid w:val="00912BE5"/>
    <w:rsid w:val="00930896"/>
    <w:rsid w:val="00946045"/>
    <w:rsid w:val="009737B5"/>
    <w:rsid w:val="0097619A"/>
    <w:rsid w:val="00991AFE"/>
    <w:rsid w:val="00997333"/>
    <w:rsid w:val="009A709E"/>
    <w:rsid w:val="009B0656"/>
    <w:rsid w:val="009B2E25"/>
    <w:rsid w:val="009F4597"/>
    <w:rsid w:val="00A17456"/>
    <w:rsid w:val="00A42F3A"/>
    <w:rsid w:val="00A53BF7"/>
    <w:rsid w:val="00A946CA"/>
    <w:rsid w:val="00AA314F"/>
    <w:rsid w:val="00AA7B5B"/>
    <w:rsid w:val="00AC35D7"/>
    <w:rsid w:val="00AD3A7F"/>
    <w:rsid w:val="00B10EA1"/>
    <w:rsid w:val="00B14B51"/>
    <w:rsid w:val="00B65443"/>
    <w:rsid w:val="00B75CF9"/>
    <w:rsid w:val="00B81059"/>
    <w:rsid w:val="00BA7AAE"/>
    <w:rsid w:val="00BF3F9C"/>
    <w:rsid w:val="00C02A4E"/>
    <w:rsid w:val="00C02AA7"/>
    <w:rsid w:val="00C11C63"/>
    <w:rsid w:val="00C45774"/>
    <w:rsid w:val="00C5645E"/>
    <w:rsid w:val="00C71F83"/>
    <w:rsid w:val="00CD29A7"/>
    <w:rsid w:val="00D07ACA"/>
    <w:rsid w:val="00D103C7"/>
    <w:rsid w:val="00D12048"/>
    <w:rsid w:val="00D72B8D"/>
    <w:rsid w:val="00D76FDB"/>
    <w:rsid w:val="00DB550A"/>
    <w:rsid w:val="00DC0C57"/>
    <w:rsid w:val="00E07C7B"/>
    <w:rsid w:val="00E23D3F"/>
    <w:rsid w:val="00E2680D"/>
    <w:rsid w:val="00E50032"/>
    <w:rsid w:val="00E72998"/>
    <w:rsid w:val="00EC7B2F"/>
    <w:rsid w:val="00ED5100"/>
    <w:rsid w:val="00EE562C"/>
    <w:rsid w:val="00F31217"/>
    <w:rsid w:val="00F72C36"/>
    <w:rsid w:val="00F91A36"/>
    <w:rsid w:val="00FA2784"/>
    <w:rsid w:val="00FC0D03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8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F2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480"/>
  </w:style>
  <w:style w:type="paragraph" w:styleId="Footer">
    <w:name w:val="footer"/>
    <w:basedOn w:val="Normal"/>
    <w:link w:val="FooterChar"/>
    <w:uiPriority w:val="99"/>
    <w:unhideWhenUsed/>
    <w:rsid w:val="000F2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480"/>
  </w:style>
  <w:style w:type="paragraph" w:styleId="ListParagraph">
    <w:name w:val="List Paragraph"/>
    <w:basedOn w:val="Normal"/>
    <w:uiPriority w:val="34"/>
    <w:qFormat/>
    <w:rsid w:val="000F2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Gobi Nallathambi</cp:lastModifiedBy>
  <cp:revision>58</cp:revision>
  <dcterms:created xsi:type="dcterms:W3CDTF">2014-09-17T08:14:00Z</dcterms:created>
  <dcterms:modified xsi:type="dcterms:W3CDTF">2017-01-19T10:18:00Z</dcterms:modified>
</cp:coreProperties>
</file>