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D" w:rsidRDefault="005D7E7D" w:rsidP="005D7E7D">
      <w:pPr>
        <w:spacing w:line="360" w:lineRule="auto"/>
        <w:jc w:val="center"/>
        <w:rPr>
          <w:rFonts w:ascii="Times New Roman" w:eastAsia="SimHei" w:hAnsi="Times New Roman"/>
          <w:b/>
          <w:szCs w:val="21"/>
        </w:rPr>
      </w:pPr>
      <w:bookmarkStart w:id="0" w:name="OLE_LINK57"/>
      <w:bookmarkStart w:id="1" w:name="OLE_LINK25"/>
      <w:r>
        <w:rPr>
          <w:rFonts w:ascii="Times New Roman" w:eastAsia="SimHei" w:hAnsi="Times New Roman"/>
          <w:b/>
          <w:szCs w:val="21"/>
        </w:rPr>
        <w:t>Примена технике претраге R-група за молекулски дизајн дипептидилборне киселине инхибитора протеазома</w:t>
      </w:r>
      <w:bookmarkEnd w:id="0"/>
    </w:p>
    <w:p w:rsidR="005D7E7D" w:rsidRPr="005D7E7D" w:rsidRDefault="005D7E7D" w:rsidP="005D7E7D">
      <w:pPr>
        <w:spacing w:line="360" w:lineRule="auto"/>
        <w:ind w:firstLineChars="200" w:firstLine="420"/>
        <w:jc w:val="center"/>
        <w:rPr>
          <w:rFonts w:ascii="Times New Roman" w:hAnsi="Times New Roman"/>
          <w:szCs w:val="21"/>
        </w:rPr>
      </w:pPr>
      <w:bookmarkStart w:id="2" w:name="OLE_LINK72"/>
      <w:bookmarkEnd w:id="1"/>
      <w:r>
        <w:rPr>
          <w:rFonts w:ascii="Times New Roman" w:hAnsi="Times New Roman"/>
          <w:szCs w:val="21"/>
        </w:rPr>
        <w:t>ЏИАН-БО ТАНГ</w:t>
      </w:r>
      <w:r>
        <w:rPr>
          <w:rStyle w:val="FootnoteReference"/>
          <w:rFonts w:ascii="Times New Roman" w:hAnsi="Times New Roman"/>
          <w:szCs w:val="21"/>
        </w:rPr>
        <w:t>*</w:t>
      </w:r>
      <w:r>
        <w:rPr>
          <w:rFonts w:ascii="Times New Roman" w:hAnsi="Times New Roman"/>
          <w:szCs w:val="21"/>
        </w:rPr>
        <w:t>, ЈУАН-ЈУАН ЛАЈ, ГВО-ЈЕН ЏИАНГ И КЕНГ-НЕН ЛАЈ</w:t>
      </w:r>
    </w:p>
    <w:bookmarkEnd w:id="2"/>
    <w:p w:rsidR="005D7E7D" w:rsidRDefault="005D7E7D" w:rsidP="005D7E7D">
      <w:pPr>
        <w:spacing w:line="360" w:lineRule="auto"/>
        <w:ind w:firstLineChars="200" w:firstLine="420"/>
        <w:jc w:val="center"/>
        <w:rPr>
          <w:rFonts w:ascii="Times New Roman" w:hAnsi="Times New Roman"/>
          <w:i/>
          <w:iCs/>
          <w:szCs w:val="21"/>
        </w:rPr>
      </w:pPr>
      <w:r>
        <w:rPr>
          <w:rFonts w:ascii="Times New Roman" w:hAnsi="Times New Roman"/>
          <w:i/>
          <w:iCs/>
          <w:szCs w:val="21"/>
        </w:rPr>
        <w:t>Факултет за хемију и хемијско инжењерство</w:t>
      </w:r>
      <w:r>
        <w:rPr>
          <w:rFonts w:ascii="Times New Roman" w:hAnsi="Times New Roman" w:hint="eastAsia"/>
          <w:i/>
          <w:iCs/>
          <w:szCs w:val="21"/>
        </w:rPr>
        <w:t xml:space="preserve">, </w:t>
      </w:r>
      <w:r>
        <w:rPr>
          <w:rFonts w:ascii="Times New Roman" w:hAnsi="Times New Roman"/>
          <w:i/>
          <w:iCs/>
          <w:szCs w:val="21"/>
        </w:rPr>
        <w:t xml:space="preserve">Шанши </w:t>
      </w:r>
      <w:proofErr w:type="spellStart"/>
      <w:r>
        <w:rPr>
          <w:rFonts w:ascii="Times New Roman" w:hAnsi="Times New Roman"/>
          <w:i/>
          <w:iCs/>
          <w:szCs w:val="21"/>
        </w:rPr>
        <w:t>Универзите</w:t>
      </w:r>
      <w:r w:rsidR="00012A78">
        <w:rPr>
          <w:rFonts w:ascii="Times New Roman" w:hAnsi="Times New Roman"/>
          <w:i/>
          <w:iCs/>
          <w:szCs w:val="21"/>
        </w:rPr>
        <w:t>т</w:t>
      </w:r>
      <w:proofErr w:type="spellEnd"/>
      <w:r>
        <w:rPr>
          <w:rFonts w:ascii="Times New Roman" w:hAnsi="Times New Roman"/>
          <w:i/>
          <w:iCs/>
          <w:szCs w:val="21"/>
        </w:rPr>
        <w:t xml:space="preserve"> за науку и технологију</w:t>
      </w:r>
      <w:r>
        <w:rPr>
          <w:rFonts w:ascii="Times New Roman" w:hAnsi="Times New Roman" w:hint="eastAsia"/>
          <w:i/>
          <w:iCs/>
          <w:szCs w:val="21"/>
        </w:rPr>
        <w:t xml:space="preserve">, </w:t>
      </w:r>
      <w:r>
        <w:rPr>
          <w:rFonts w:ascii="Times New Roman" w:hAnsi="Times New Roman"/>
          <w:i/>
          <w:iCs/>
          <w:szCs w:val="21"/>
        </w:rPr>
        <w:t>Ши’ен</w:t>
      </w:r>
      <w:r>
        <w:rPr>
          <w:rFonts w:ascii="Times New Roman" w:hAnsi="Times New Roman" w:hint="eastAsia"/>
          <w:i/>
          <w:iCs/>
          <w:szCs w:val="21"/>
        </w:rPr>
        <w:t xml:space="preserve"> 710021, </w:t>
      </w:r>
      <w:r>
        <w:rPr>
          <w:rFonts w:ascii="Times New Roman" w:hAnsi="Times New Roman"/>
          <w:i/>
          <w:iCs/>
          <w:szCs w:val="21"/>
        </w:rPr>
        <w:t>НР</w:t>
      </w:r>
      <w:r>
        <w:rPr>
          <w:rFonts w:ascii="Times New Roman" w:hAnsi="Times New Roman" w:hint="eastAsia"/>
          <w:i/>
          <w:iCs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Кина</w:t>
      </w:r>
    </w:p>
    <w:p w:rsidR="005D7E7D" w:rsidRPr="005D7E7D" w:rsidRDefault="005D7E7D" w:rsidP="005D7E7D">
      <w:pPr>
        <w:spacing w:line="360" w:lineRule="auto"/>
        <w:ind w:firstLineChars="200" w:firstLine="420"/>
        <w:jc w:val="center"/>
        <w:rPr>
          <w:rFonts w:ascii="Times New Roman" w:hAnsi="Times New Roman"/>
          <w:i/>
          <w:iCs/>
          <w:szCs w:val="21"/>
        </w:rPr>
      </w:pPr>
    </w:p>
    <w:p w:rsidR="005D7E7D" w:rsidRDefault="005D7E7D" w:rsidP="005D7E7D">
      <w:pPr>
        <w:spacing w:line="360" w:lineRule="auto"/>
        <w:jc w:val="center"/>
        <w:rPr>
          <w:rStyle w:val="apple-converted-space"/>
          <w:rFonts w:ascii="Times New Roman" w:eastAsia="SimHei" w:hAnsi="Times New Roman"/>
          <w:i/>
          <w:iCs/>
          <w:szCs w:val="21"/>
          <w:shd w:val="clear" w:color="auto" w:fill="FFFFFF"/>
        </w:rPr>
      </w:pPr>
      <w:r>
        <w:rPr>
          <w:rStyle w:val="apple-converted-space"/>
          <w:rFonts w:ascii="Times New Roman" w:eastAsia="SimHei" w:hAnsi="Times New Roman"/>
          <w:i/>
          <w:iCs/>
          <w:szCs w:val="21"/>
          <w:shd w:val="clear" w:color="auto" w:fill="FFFFFF"/>
        </w:rPr>
        <w:t>ИЗВОД</w:t>
      </w:r>
    </w:p>
    <w:p w:rsidR="005D7E7D" w:rsidRDefault="002177C8" w:rsidP="005D7E7D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У овом раду је</w:t>
      </w:r>
      <w:r w:rsidR="005D7E7D"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направљен </w:t>
      </w:r>
      <w:r w:rsidR="005D7E7D">
        <w:rPr>
          <w:rFonts w:ascii="Times New Roman" w:hAnsi="Times New Roman" w:hint="eastAsia"/>
          <w:szCs w:val="21"/>
        </w:rPr>
        <w:t xml:space="preserve">3D-QSAR </w:t>
      </w:r>
      <w:r>
        <w:rPr>
          <w:rFonts w:ascii="Times New Roman" w:hAnsi="Times New Roman"/>
          <w:szCs w:val="21"/>
        </w:rPr>
        <w:t>модел који укључује</w:t>
      </w:r>
      <w:r w:rsidR="005D7E7D">
        <w:rPr>
          <w:rFonts w:ascii="Times New Roman" w:hAnsi="Times New Roman" w:hint="eastAsia"/>
          <w:szCs w:val="21"/>
        </w:rPr>
        <w:t xml:space="preserve"> 40 </w:t>
      </w:r>
      <w:r>
        <w:rPr>
          <w:rFonts w:ascii="Times New Roman" w:hAnsi="Times New Roman"/>
          <w:szCs w:val="21"/>
        </w:rPr>
        <w:t>дипептидилборних киселина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инхиб</w:t>
      </w:r>
      <w:r>
        <w:rPr>
          <w:rFonts w:ascii="Times New Roman" w:hAnsi="Times New Roman"/>
          <w:szCs w:val="21"/>
        </w:rPr>
        <w:t xml:space="preserve">итора </w:t>
      </w:r>
      <w:proofErr w:type="spellStart"/>
      <w:r>
        <w:rPr>
          <w:rFonts w:ascii="Times New Roman" w:hAnsi="Times New Roman"/>
          <w:szCs w:val="21"/>
        </w:rPr>
        <w:t>протеазома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на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основу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 w:rsidR="005D7E7D">
        <w:rPr>
          <w:rFonts w:ascii="Times New Roman" w:hAnsi="Times New Roman" w:hint="eastAsia"/>
          <w:szCs w:val="21"/>
        </w:rPr>
        <w:t>Topomer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 w:rsidR="005D7E7D">
        <w:rPr>
          <w:rFonts w:ascii="Times New Roman" w:hAnsi="Times New Roman" w:hint="eastAsia"/>
          <w:szCs w:val="21"/>
        </w:rPr>
        <w:t>CoMFA</w:t>
      </w:r>
      <w:proofErr w:type="spellEnd"/>
      <w:r w:rsidR="005D7E7D"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/>
          <w:szCs w:val="21"/>
        </w:rPr>
        <w:t>коефицијенти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вишеструке</w:t>
      </w:r>
      <w:proofErr w:type="spellEnd"/>
      <w:r>
        <w:rPr>
          <w:rFonts w:ascii="Times New Roman" w:hAnsi="Times New Roman"/>
          <w:szCs w:val="21"/>
        </w:rPr>
        <w:t xml:space="preserve"> корелације</w:t>
      </w:r>
      <w:r w:rsidR="005D7E7D"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>унакрсне валидације и екстерне валидације</w:t>
      </w:r>
      <w:r w:rsidR="005D7E7D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су</w:t>
      </w:r>
      <w:r w:rsidR="005D7E7D">
        <w:rPr>
          <w:rFonts w:ascii="Times New Roman" w:hAnsi="Times New Roman" w:hint="eastAsia"/>
          <w:szCs w:val="21"/>
        </w:rPr>
        <w:t xml:space="preserve"> 0</w:t>
      </w:r>
      <w:r>
        <w:rPr>
          <w:rFonts w:ascii="Times New Roman" w:hAnsi="Times New Roman"/>
          <w:szCs w:val="21"/>
        </w:rPr>
        <w:t>,</w:t>
      </w:r>
      <w:r w:rsidR="005D7E7D">
        <w:rPr>
          <w:rFonts w:ascii="Times New Roman" w:hAnsi="Times New Roman" w:hint="eastAsia"/>
          <w:szCs w:val="21"/>
        </w:rPr>
        <w:t>908, 0</w:t>
      </w:r>
      <w:r>
        <w:rPr>
          <w:rFonts w:ascii="Times New Roman" w:hAnsi="Times New Roman"/>
          <w:szCs w:val="21"/>
        </w:rPr>
        <w:t>,</w:t>
      </w:r>
      <w:r w:rsidR="005D7E7D">
        <w:rPr>
          <w:rFonts w:ascii="Times New Roman" w:hAnsi="Times New Roman" w:hint="eastAsia"/>
          <w:szCs w:val="21"/>
        </w:rPr>
        <w:t xml:space="preserve">647 </w:t>
      </w:r>
      <w:r>
        <w:rPr>
          <w:rFonts w:ascii="Times New Roman" w:hAnsi="Times New Roman"/>
          <w:szCs w:val="21"/>
        </w:rPr>
        <w:t>односно</w:t>
      </w:r>
      <w:r w:rsidR="005D7E7D">
        <w:rPr>
          <w:rFonts w:ascii="Times New Roman" w:hAnsi="Times New Roman" w:hint="eastAsia"/>
          <w:szCs w:val="21"/>
        </w:rPr>
        <w:t xml:space="preserve"> 0</w:t>
      </w:r>
      <w:r>
        <w:rPr>
          <w:rFonts w:ascii="Times New Roman" w:hAnsi="Times New Roman"/>
          <w:szCs w:val="21"/>
        </w:rPr>
        <w:t>,</w:t>
      </w:r>
      <w:r w:rsidR="005D7E7D">
        <w:rPr>
          <w:rFonts w:ascii="Times New Roman" w:hAnsi="Times New Roman" w:hint="eastAsia"/>
          <w:szCs w:val="21"/>
        </w:rPr>
        <w:t xml:space="preserve">703. </w:t>
      </w:r>
      <w:r>
        <w:rPr>
          <w:rFonts w:ascii="Times New Roman" w:hAnsi="Times New Roman"/>
          <w:szCs w:val="21"/>
        </w:rPr>
        <w:t xml:space="preserve">Резултати </w:t>
      </w:r>
      <w:proofErr w:type="spellStart"/>
      <w:r>
        <w:rPr>
          <w:rFonts w:ascii="Times New Roman" w:hAnsi="Times New Roman"/>
          <w:szCs w:val="21"/>
        </w:rPr>
        <w:t>указују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да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добијени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 w:rsidR="005D7E7D">
        <w:rPr>
          <w:rFonts w:ascii="Times New Roman" w:hAnsi="Times New Roman" w:hint="eastAsia"/>
          <w:szCs w:val="21"/>
        </w:rPr>
        <w:t>Topomer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 w:rsidR="005D7E7D">
        <w:rPr>
          <w:rFonts w:ascii="Times New Roman" w:hAnsi="Times New Roman" w:hint="eastAsia"/>
          <w:szCs w:val="21"/>
        </w:rPr>
        <w:t>CoMFA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модел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не</w:t>
      </w:r>
      <w:proofErr w:type="spellEnd"/>
      <w:r>
        <w:rPr>
          <w:rFonts w:ascii="Times New Roman" w:hAnsi="Times New Roman"/>
          <w:szCs w:val="21"/>
        </w:rPr>
        <w:t xml:space="preserve"> само да има повољну стабилност процењивања већ и добрру способност предвиђања</w:t>
      </w:r>
      <w:r w:rsidR="005D7E7D">
        <w:rPr>
          <w:rFonts w:ascii="Times New Roman" w:hAnsi="Times New Roman" w:hint="eastAsia"/>
          <w:szCs w:val="21"/>
        </w:rPr>
        <w:t xml:space="preserve">. </w:t>
      </w:r>
      <w:proofErr w:type="spellStart"/>
      <w:r w:rsidR="005D7E7D">
        <w:rPr>
          <w:rFonts w:ascii="Times New Roman" w:hAnsi="Times New Roman" w:hint="eastAsia"/>
          <w:szCs w:val="21"/>
        </w:rPr>
        <w:t>Topomer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Search</w:t>
      </w:r>
      <w:r w:rsidR="005D7E7D" w:rsidRPr="002177C8">
        <w:rPr>
          <w:rFonts w:ascii="Times New Roman" w:hAnsi="Times New Roman"/>
          <w:color w:val="0000FF"/>
          <w:szCs w:val="21"/>
        </w:rPr>
        <w:t xml:space="preserve"> </w:t>
      </w:r>
      <w:proofErr w:type="spellStart"/>
      <w:r w:rsidRPr="002177C8">
        <w:rPr>
          <w:rFonts w:ascii="Times New Roman" w:eastAsia="MS Mincho" w:hAnsi="Times New Roman"/>
          <w:szCs w:val="21"/>
        </w:rPr>
        <w:t>је</w:t>
      </w:r>
      <w:proofErr w:type="spellEnd"/>
      <w:r w:rsidRPr="002177C8">
        <w:rPr>
          <w:rFonts w:ascii="Times New Roman" w:eastAsia="MS Mincho" w:hAnsi="Times New Roman"/>
          <w:szCs w:val="21"/>
        </w:rPr>
        <w:t xml:space="preserve"> </w:t>
      </w:r>
      <w:proofErr w:type="spellStart"/>
      <w:r w:rsidRPr="002177C8">
        <w:rPr>
          <w:rFonts w:ascii="Times New Roman" w:eastAsia="MS Mincho" w:hAnsi="Times New Roman"/>
          <w:szCs w:val="21"/>
        </w:rPr>
        <w:t>примењен</w:t>
      </w:r>
      <w:proofErr w:type="spellEnd"/>
      <w:r w:rsidRPr="002177C8">
        <w:rPr>
          <w:rFonts w:ascii="Times New Roman" w:eastAsia="MS Mincho" w:hAnsi="Times New Roman"/>
          <w:szCs w:val="21"/>
        </w:rPr>
        <w:t xml:space="preserve"> као алат</w:t>
      </w:r>
      <w:r w:rsidR="00CC71D4">
        <w:rPr>
          <w:rFonts w:ascii="Times New Roman" w:eastAsia="MS Mincho" w:hAnsi="Times New Roman"/>
          <w:szCs w:val="21"/>
        </w:rPr>
        <w:t xml:space="preserve"> за</w:t>
      </w:r>
      <w:r w:rsidRPr="002177C8">
        <w:rPr>
          <w:rFonts w:ascii="Times New Roman" w:eastAsia="MS Mincho" w:hAnsi="Times New Roman"/>
          <w:szCs w:val="21"/>
        </w:rPr>
        <w:t xml:space="preserve"> </w:t>
      </w:r>
      <w:r>
        <w:rPr>
          <w:rFonts w:ascii="Times New Roman" w:eastAsia="MS Mincho" w:hAnsi="Times New Roman"/>
          <w:szCs w:val="21"/>
        </w:rPr>
        <w:t xml:space="preserve">виртуелну претрагу </w:t>
      </w:r>
      <w:r w:rsidR="005D7E7D">
        <w:rPr>
          <w:rFonts w:ascii="Times New Roman" w:hAnsi="Times New Roman" w:hint="eastAsia"/>
          <w:szCs w:val="21"/>
        </w:rPr>
        <w:t xml:space="preserve">ZINC </w:t>
      </w:r>
      <w:r w:rsidR="00CC71D4">
        <w:rPr>
          <w:rFonts w:ascii="Times New Roman" w:hAnsi="Times New Roman"/>
          <w:szCs w:val="21"/>
        </w:rPr>
        <w:t>базе података на</w:t>
      </w:r>
      <w:r w:rsidR="00CC71D4" w:rsidRPr="00CC71D4">
        <w:rPr>
          <w:rFonts w:ascii="Times New Roman" w:eastAsia="MS Mincho" w:hAnsi="Times New Roman"/>
          <w:szCs w:val="21"/>
        </w:rPr>
        <w:t xml:space="preserve"> </w:t>
      </w:r>
      <w:r w:rsidR="00CC71D4">
        <w:rPr>
          <w:rFonts w:ascii="Times New Roman" w:eastAsia="MS Mincho" w:hAnsi="Times New Roman"/>
          <w:szCs w:val="21"/>
        </w:rPr>
        <w:t>''лид''-слична (</w:t>
      </w:r>
      <w:r w:rsidR="00CC71D4">
        <w:rPr>
          <w:rFonts w:ascii="Times New Roman" w:hAnsi="Times New Roman" w:hint="eastAsia"/>
          <w:szCs w:val="21"/>
        </w:rPr>
        <w:t>lead-like</w:t>
      </w:r>
      <w:r w:rsidR="00CC71D4" w:rsidRPr="00CC71D4">
        <w:rPr>
          <w:rFonts w:ascii="Times New Roman" w:hAnsi="Times New Roman"/>
          <w:szCs w:val="21"/>
        </w:rPr>
        <w:t xml:space="preserve">) </w:t>
      </w:r>
      <w:r w:rsidR="00CC71D4" w:rsidRPr="00CC71D4">
        <w:rPr>
          <w:rFonts w:ascii="Times New Roman" w:eastAsia="MS Mincho" w:hAnsi="Times New Roman"/>
          <w:szCs w:val="21"/>
        </w:rPr>
        <w:t>једињења</w:t>
      </w:r>
      <w:r w:rsidR="005D7E7D">
        <w:rPr>
          <w:rFonts w:ascii="Times New Roman" w:hAnsi="Times New Roman" w:hint="eastAsia"/>
          <w:szCs w:val="21"/>
        </w:rPr>
        <w:t xml:space="preserve">. </w:t>
      </w:r>
      <w:r w:rsidR="00CC71D4">
        <w:rPr>
          <w:rFonts w:ascii="Times New Roman" w:hAnsi="Times New Roman"/>
          <w:szCs w:val="21"/>
        </w:rPr>
        <w:t>На крају су</w:t>
      </w:r>
      <w:r w:rsidR="005D7E7D">
        <w:rPr>
          <w:rFonts w:ascii="Times New Roman" w:hAnsi="Times New Roman" w:hint="eastAsia"/>
          <w:szCs w:val="21"/>
        </w:rPr>
        <w:t>, 1 R</w:t>
      </w:r>
      <w:r w:rsidR="005D7E7D">
        <w:rPr>
          <w:rFonts w:ascii="Times New Roman" w:hAnsi="Times New Roman" w:hint="eastAsia"/>
          <w:szCs w:val="21"/>
          <w:vertAlign w:val="subscript"/>
        </w:rPr>
        <w:t>1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група</w:t>
      </w:r>
      <w:r w:rsidR="005D7E7D">
        <w:rPr>
          <w:rFonts w:ascii="Times New Roman" w:hAnsi="Times New Roman" w:hint="eastAsia"/>
          <w:szCs w:val="21"/>
        </w:rPr>
        <w:t>, 7 R</w:t>
      </w:r>
      <w:r w:rsidR="005D7E7D">
        <w:rPr>
          <w:rFonts w:ascii="Times New Roman" w:hAnsi="Times New Roman" w:hint="eastAsia"/>
          <w:szCs w:val="21"/>
          <w:vertAlign w:val="subscript"/>
        </w:rPr>
        <w:t>2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група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и</w:t>
      </w:r>
      <w:r w:rsidR="005D7E7D">
        <w:rPr>
          <w:rFonts w:ascii="Times New Roman" w:hAnsi="Times New Roman" w:hint="eastAsia"/>
          <w:szCs w:val="21"/>
        </w:rPr>
        <w:t xml:space="preserve"> 6 R</w:t>
      </w:r>
      <w:r w:rsidR="005D7E7D">
        <w:rPr>
          <w:rFonts w:ascii="Times New Roman" w:hAnsi="Times New Roman" w:hint="eastAsia"/>
          <w:szCs w:val="21"/>
          <w:vertAlign w:val="subscript"/>
        </w:rPr>
        <w:t>3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група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са вишим доприносима</w:t>
      </w:r>
      <w:r w:rsidR="004E1B4D">
        <w:rPr>
          <w:rFonts w:ascii="Times New Roman" w:hAnsi="Times New Roman"/>
          <w:szCs w:val="21"/>
        </w:rPr>
        <w:t>,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употребљене за наизмен</w:t>
      </w:r>
      <w:r w:rsidR="004E1B4D">
        <w:rPr>
          <w:rFonts w:ascii="Times New Roman" w:hAnsi="Times New Roman"/>
          <w:szCs w:val="21"/>
        </w:rPr>
        <w:t>и</w:t>
      </w:r>
      <w:r w:rsidR="00CC71D4">
        <w:rPr>
          <w:rFonts w:ascii="Times New Roman" w:hAnsi="Times New Roman"/>
          <w:szCs w:val="21"/>
        </w:rPr>
        <w:t>чну супституцију</w:t>
      </w:r>
      <w:r w:rsidR="005D7E7D">
        <w:rPr>
          <w:rFonts w:ascii="Times New Roman" w:hAnsi="Times New Roman" w:hint="eastAsia"/>
          <w:szCs w:val="21"/>
        </w:rPr>
        <w:t xml:space="preserve"> R</w:t>
      </w:r>
      <w:r w:rsidR="005D7E7D">
        <w:rPr>
          <w:rFonts w:ascii="Times New Roman" w:hAnsi="Times New Roman" w:hint="eastAsia"/>
          <w:szCs w:val="21"/>
          <w:vertAlign w:val="subscript"/>
        </w:rPr>
        <w:t>1</w:t>
      </w:r>
      <w:r w:rsidR="005D7E7D">
        <w:rPr>
          <w:rFonts w:ascii="Times New Roman" w:hAnsi="Times New Roman" w:hint="eastAsia"/>
          <w:szCs w:val="21"/>
        </w:rPr>
        <w:t>, R</w:t>
      </w:r>
      <w:r w:rsidR="005D7E7D">
        <w:rPr>
          <w:rFonts w:ascii="Times New Roman" w:hAnsi="Times New Roman" w:hint="eastAsia"/>
          <w:szCs w:val="21"/>
          <w:vertAlign w:val="subscript"/>
        </w:rPr>
        <w:t>2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и</w:t>
      </w:r>
      <w:r w:rsidR="005D7E7D">
        <w:rPr>
          <w:rFonts w:ascii="Times New Roman" w:hAnsi="Times New Roman" w:hint="eastAsia"/>
          <w:szCs w:val="21"/>
        </w:rPr>
        <w:t xml:space="preserve"> R</w:t>
      </w:r>
      <w:r w:rsidR="005D7E7D">
        <w:rPr>
          <w:rFonts w:ascii="Times New Roman" w:hAnsi="Times New Roman" w:hint="eastAsia"/>
          <w:szCs w:val="21"/>
          <w:vertAlign w:val="subscript"/>
        </w:rPr>
        <w:t>3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CC71D4">
        <w:rPr>
          <w:rFonts w:ascii="Times New Roman" w:hAnsi="Times New Roman"/>
          <w:szCs w:val="21"/>
        </w:rPr>
        <w:t>шаблонског једињења</w:t>
      </w:r>
      <w:r w:rsidR="005D7E7D">
        <w:rPr>
          <w:rFonts w:ascii="Times New Roman" w:hAnsi="Times New Roman" w:hint="eastAsia"/>
          <w:szCs w:val="21"/>
        </w:rPr>
        <w:t xml:space="preserve"> 23 </w:t>
      </w:r>
      <w:r w:rsidR="00CC71D4">
        <w:rPr>
          <w:rFonts w:ascii="Times New Roman" w:hAnsi="Times New Roman"/>
          <w:szCs w:val="21"/>
        </w:rPr>
        <w:t>са највишом биоактивношћу</w:t>
      </w:r>
      <w:r w:rsidR="005D7E7D">
        <w:rPr>
          <w:rFonts w:ascii="Times New Roman" w:hAnsi="Times New Roman" w:hint="eastAsia"/>
          <w:szCs w:val="21"/>
        </w:rPr>
        <w:t xml:space="preserve">. </w:t>
      </w:r>
      <w:r w:rsidR="0081137A">
        <w:rPr>
          <w:rFonts w:ascii="Times New Roman" w:hAnsi="Times New Roman"/>
          <w:szCs w:val="21"/>
        </w:rPr>
        <w:t>Као последица су успешно синтетизована</w:t>
      </w:r>
      <w:r w:rsidR="005D7E7D">
        <w:rPr>
          <w:rFonts w:ascii="Times New Roman" w:hAnsi="Times New Roman" w:hint="eastAsia"/>
          <w:szCs w:val="21"/>
        </w:rPr>
        <w:t xml:space="preserve"> 33 </w:t>
      </w:r>
      <w:r w:rsidR="0081137A">
        <w:rPr>
          <w:rFonts w:ascii="Times New Roman" w:hAnsi="Times New Roman"/>
          <w:szCs w:val="21"/>
        </w:rPr>
        <w:t>нова молекула са вишом активношћу од шаблонског молекула</w:t>
      </w:r>
      <w:r w:rsidR="005D7E7D">
        <w:rPr>
          <w:rFonts w:ascii="Times New Roman" w:hAnsi="Times New Roman" w:hint="eastAsia"/>
          <w:szCs w:val="21"/>
        </w:rPr>
        <w:t xml:space="preserve">. </w:t>
      </w:r>
      <w:r w:rsidR="0081137A">
        <w:rPr>
          <w:rFonts w:ascii="Times New Roman" w:hAnsi="Times New Roman"/>
          <w:szCs w:val="21"/>
        </w:rPr>
        <w:t xml:space="preserve">Резултати </w:t>
      </w:r>
      <w:proofErr w:type="spellStart"/>
      <w:r w:rsidR="0081137A">
        <w:rPr>
          <w:rFonts w:ascii="Times New Roman" w:hAnsi="Times New Roman"/>
          <w:szCs w:val="21"/>
        </w:rPr>
        <w:t>су</w:t>
      </w:r>
      <w:proofErr w:type="spellEnd"/>
      <w:r w:rsidR="0081137A">
        <w:rPr>
          <w:rFonts w:ascii="Times New Roman" w:hAnsi="Times New Roman"/>
          <w:szCs w:val="21"/>
        </w:rPr>
        <w:t xml:space="preserve"> </w:t>
      </w:r>
      <w:proofErr w:type="spellStart"/>
      <w:r w:rsidR="0081137A">
        <w:rPr>
          <w:rFonts w:ascii="Times New Roman" w:hAnsi="Times New Roman"/>
          <w:szCs w:val="21"/>
        </w:rPr>
        <w:t>показали</w:t>
      </w:r>
      <w:proofErr w:type="spellEnd"/>
      <w:r w:rsidR="0081137A">
        <w:rPr>
          <w:rFonts w:ascii="Times New Roman" w:hAnsi="Times New Roman"/>
          <w:szCs w:val="21"/>
        </w:rPr>
        <w:t xml:space="preserve"> </w:t>
      </w:r>
      <w:proofErr w:type="spellStart"/>
      <w:r w:rsidR="0081137A">
        <w:rPr>
          <w:rFonts w:ascii="Times New Roman" w:hAnsi="Times New Roman"/>
          <w:szCs w:val="21"/>
        </w:rPr>
        <w:t>да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</w:t>
      </w:r>
      <w:proofErr w:type="spellStart"/>
      <w:r w:rsidR="005D7E7D">
        <w:rPr>
          <w:rFonts w:ascii="Times New Roman" w:hAnsi="Times New Roman" w:hint="eastAsia"/>
          <w:szCs w:val="21"/>
        </w:rPr>
        <w:t>Topomer</w:t>
      </w:r>
      <w:proofErr w:type="spellEnd"/>
      <w:r w:rsidR="005D7E7D">
        <w:rPr>
          <w:rFonts w:ascii="Times New Roman" w:hAnsi="Times New Roman" w:hint="eastAsia"/>
          <w:szCs w:val="21"/>
        </w:rPr>
        <w:t xml:space="preserve"> Search </w:t>
      </w:r>
      <w:proofErr w:type="spellStart"/>
      <w:r w:rsidR="0081137A">
        <w:rPr>
          <w:rFonts w:ascii="Times New Roman" w:hAnsi="Times New Roman"/>
          <w:szCs w:val="21"/>
        </w:rPr>
        <w:t>технологија</w:t>
      </w:r>
      <w:proofErr w:type="spellEnd"/>
      <w:r w:rsidR="0081137A">
        <w:rPr>
          <w:rFonts w:ascii="Times New Roman" w:hAnsi="Times New Roman"/>
          <w:szCs w:val="21"/>
        </w:rPr>
        <w:t xml:space="preserve"> </w:t>
      </w:r>
      <w:proofErr w:type="spellStart"/>
      <w:r w:rsidR="0081137A">
        <w:rPr>
          <w:rFonts w:ascii="Times New Roman" w:hAnsi="Times New Roman"/>
          <w:szCs w:val="21"/>
        </w:rPr>
        <w:t>може</w:t>
      </w:r>
      <w:proofErr w:type="spellEnd"/>
      <w:r w:rsidR="0081137A">
        <w:rPr>
          <w:rFonts w:ascii="Times New Roman" w:hAnsi="Times New Roman"/>
          <w:szCs w:val="21"/>
        </w:rPr>
        <w:t xml:space="preserve"> да се ефикасно примени за претрагу и дизајн</w:t>
      </w:r>
      <w:r w:rsidR="005D7E7D">
        <w:rPr>
          <w:rFonts w:ascii="Times New Roman" w:hAnsi="Times New Roman" w:hint="eastAsia"/>
          <w:szCs w:val="21"/>
        </w:rPr>
        <w:t xml:space="preserve"> </w:t>
      </w:r>
      <w:r w:rsidR="0081137A">
        <w:rPr>
          <w:rFonts w:ascii="Times New Roman" w:hAnsi="Times New Roman"/>
          <w:szCs w:val="21"/>
        </w:rPr>
        <w:t xml:space="preserve">нових дипептидилборних киселина инхибитора протеазома </w:t>
      </w:r>
      <w:r w:rsidR="004E1B4D">
        <w:rPr>
          <w:rFonts w:ascii="Times New Roman" w:hAnsi="Times New Roman"/>
          <w:szCs w:val="21"/>
        </w:rPr>
        <w:t xml:space="preserve">и </w:t>
      </w:r>
      <w:r w:rsidR="0081137A">
        <w:rPr>
          <w:rFonts w:ascii="Times New Roman" w:hAnsi="Times New Roman"/>
          <w:szCs w:val="21"/>
        </w:rPr>
        <w:t>да има способност предвиђања за усмерава</w:t>
      </w:r>
      <w:r w:rsidR="004E1B4D" w:rsidRPr="00CC71D4">
        <w:rPr>
          <w:rFonts w:ascii="Times New Roman" w:eastAsia="MS Mincho" w:hAnsi="Times New Roman"/>
          <w:szCs w:val="21"/>
        </w:rPr>
        <w:t>њ</w:t>
      </w:r>
      <w:r w:rsidR="0081137A">
        <w:rPr>
          <w:rFonts w:ascii="Times New Roman" w:hAnsi="Times New Roman"/>
          <w:szCs w:val="21"/>
        </w:rPr>
        <w:t>е при дизајн</w:t>
      </w:r>
      <w:r w:rsidR="000A2A84">
        <w:rPr>
          <w:rFonts w:ascii="Times New Roman" w:hAnsi="Times New Roman"/>
          <w:szCs w:val="21"/>
        </w:rPr>
        <w:t>y</w:t>
      </w:r>
      <w:r w:rsidR="0081137A">
        <w:rPr>
          <w:rFonts w:ascii="Times New Roman" w:hAnsi="Times New Roman"/>
          <w:szCs w:val="21"/>
        </w:rPr>
        <w:t xml:space="preserve"> нових дипептидилборних киселина инхибитора протеазома</w:t>
      </w:r>
      <w:r w:rsidR="005D7E7D">
        <w:rPr>
          <w:rFonts w:ascii="Times New Roman" w:hAnsi="Times New Roman" w:hint="eastAsia"/>
          <w:szCs w:val="21"/>
        </w:rPr>
        <w:t>.</w:t>
      </w:r>
    </w:p>
    <w:p w:rsidR="0081137A" w:rsidRPr="0081137A" w:rsidRDefault="0081137A" w:rsidP="005D7E7D">
      <w:pPr>
        <w:spacing w:line="360" w:lineRule="auto"/>
        <w:rPr>
          <w:rFonts w:ascii="Times New Roman" w:hAnsi="Times New Roman"/>
          <w:szCs w:val="21"/>
        </w:rPr>
      </w:pPr>
    </w:p>
    <w:p w:rsidR="005D7E7D" w:rsidRDefault="0081137A" w:rsidP="005D7E7D">
      <w:pPr>
        <w:spacing w:line="360" w:lineRule="auto"/>
        <w:rPr>
          <w:rFonts w:ascii="Times New Roman" w:hAnsi="Times New Roman"/>
          <w:szCs w:val="21"/>
        </w:rPr>
      </w:pPr>
      <w:r>
        <w:rPr>
          <w:rStyle w:val="apple-converted-space"/>
          <w:rFonts w:ascii="Times New Roman" w:eastAsia="SimHei" w:hAnsi="Times New Roman"/>
          <w:i/>
          <w:iCs/>
          <w:szCs w:val="21"/>
          <w:shd w:val="clear" w:color="auto" w:fill="FFFFFF"/>
        </w:rPr>
        <w:t>Кључне речи</w:t>
      </w:r>
      <w:r w:rsidR="005D7E7D">
        <w:rPr>
          <w:rStyle w:val="apple-converted-space"/>
          <w:rFonts w:ascii="Times New Roman" w:eastAsia="SimHei" w:hAnsi="Times New Roman"/>
          <w:szCs w:val="21"/>
          <w:shd w:val="clear" w:color="auto" w:fill="FFFFFF"/>
        </w:rPr>
        <w:t xml:space="preserve">: </w:t>
      </w:r>
      <w:r>
        <w:rPr>
          <w:rFonts w:ascii="Times New Roman" w:hAnsi="Times New Roman"/>
          <w:szCs w:val="21"/>
        </w:rPr>
        <w:t>квантитативан однос структуре и активности</w:t>
      </w:r>
      <w:r w:rsidR="005D7E7D">
        <w:rPr>
          <w:rFonts w:ascii="Times New Roman" w:hAnsi="Times New Roman"/>
          <w:szCs w:val="21"/>
        </w:rPr>
        <w:t xml:space="preserve"> (QSAR)</w:t>
      </w:r>
      <w:r w:rsidR="005D7E7D">
        <w:rPr>
          <w:rFonts w:ascii="Times New Roman" w:hAnsi="Times New Roman" w:hint="eastAsia"/>
          <w:szCs w:val="21"/>
        </w:rPr>
        <w:t xml:space="preserve">; </w:t>
      </w:r>
      <w:proofErr w:type="spellStart"/>
      <w:r>
        <w:rPr>
          <w:rFonts w:ascii="Times New Roman" w:hAnsi="Times New Roman"/>
          <w:szCs w:val="21"/>
        </w:rPr>
        <w:t>инхибитори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протеазома</w:t>
      </w:r>
      <w:proofErr w:type="spellEnd"/>
      <w:r w:rsidR="005D7E7D">
        <w:rPr>
          <w:rFonts w:ascii="Times New Roman" w:hAnsi="Times New Roman"/>
          <w:szCs w:val="21"/>
        </w:rPr>
        <w:t xml:space="preserve">; </w:t>
      </w:r>
      <w:proofErr w:type="spellStart"/>
      <w:r w:rsidR="005D7E7D">
        <w:rPr>
          <w:rFonts w:ascii="Times New Roman" w:hAnsi="Times New Roman"/>
          <w:szCs w:val="21"/>
        </w:rPr>
        <w:t>Topomer</w:t>
      </w:r>
      <w:proofErr w:type="spellEnd"/>
      <w:r w:rsidR="005D7E7D">
        <w:rPr>
          <w:rFonts w:ascii="Times New Roman" w:hAnsi="Times New Roman"/>
          <w:szCs w:val="21"/>
        </w:rPr>
        <w:t xml:space="preserve"> </w:t>
      </w:r>
      <w:proofErr w:type="spellStart"/>
      <w:r w:rsidR="005D7E7D">
        <w:rPr>
          <w:rFonts w:ascii="Times New Roman" w:hAnsi="Times New Roman"/>
          <w:szCs w:val="21"/>
        </w:rPr>
        <w:t>CoMFA</w:t>
      </w:r>
      <w:proofErr w:type="spellEnd"/>
      <w:r w:rsidR="005D7E7D">
        <w:rPr>
          <w:rFonts w:ascii="Times New Roman" w:hAnsi="Times New Roman"/>
          <w:szCs w:val="21"/>
        </w:rPr>
        <w:t xml:space="preserve">; </w:t>
      </w:r>
      <w:proofErr w:type="spellStart"/>
      <w:r w:rsidR="005D7E7D">
        <w:rPr>
          <w:rFonts w:ascii="Times New Roman" w:hAnsi="Times New Roman"/>
          <w:szCs w:val="21"/>
        </w:rPr>
        <w:t>Topomer</w:t>
      </w:r>
      <w:proofErr w:type="spellEnd"/>
      <w:r w:rsidR="005D7E7D">
        <w:rPr>
          <w:rFonts w:ascii="Times New Roman" w:hAnsi="Times New Roman"/>
          <w:szCs w:val="21"/>
        </w:rPr>
        <w:t xml:space="preserve"> search; </w:t>
      </w:r>
      <w:r>
        <w:rPr>
          <w:rFonts w:ascii="Times New Roman" w:hAnsi="Times New Roman"/>
          <w:szCs w:val="21"/>
        </w:rPr>
        <w:t>дизајн нових инхибитора</w:t>
      </w:r>
      <w:r w:rsidR="005D7E7D">
        <w:rPr>
          <w:rFonts w:ascii="Times New Roman" w:hAnsi="Times New Roman" w:hint="eastAsia"/>
          <w:szCs w:val="21"/>
        </w:rPr>
        <w:t>.</w:t>
      </w:r>
    </w:p>
    <w:p w:rsidR="00AC7564" w:rsidRDefault="00AC7564"/>
    <w:sectPr w:rsidR="00AC7564" w:rsidSect="00AC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D8" w:rsidRDefault="006F67D8" w:rsidP="005D7E7D">
      <w:r>
        <w:separator/>
      </w:r>
    </w:p>
  </w:endnote>
  <w:endnote w:type="continuationSeparator" w:id="0">
    <w:p w:rsidR="006F67D8" w:rsidRDefault="006F67D8" w:rsidP="005D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D8" w:rsidRDefault="006F67D8" w:rsidP="005D7E7D">
      <w:r>
        <w:separator/>
      </w:r>
    </w:p>
  </w:footnote>
  <w:footnote w:type="continuationSeparator" w:id="0">
    <w:p w:rsidR="006F67D8" w:rsidRDefault="006F67D8" w:rsidP="005D7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7D"/>
    <w:rsid w:val="00012A78"/>
    <w:rsid w:val="000A2A84"/>
    <w:rsid w:val="002177C8"/>
    <w:rsid w:val="00307C9B"/>
    <w:rsid w:val="004E1B4D"/>
    <w:rsid w:val="005D7E7D"/>
    <w:rsid w:val="006F67D8"/>
    <w:rsid w:val="0081137A"/>
    <w:rsid w:val="009B3EEC"/>
    <w:rsid w:val="00AC7564"/>
    <w:rsid w:val="00C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7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5D7E7D"/>
    <w:rPr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5D7E7D"/>
  </w:style>
  <w:style w:type="paragraph" w:styleId="FootnoteText">
    <w:name w:val="footnote text"/>
    <w:basedOn w:val="Normal"/>
    <w:link w:val="FootnoteTextChar"/>
    <w:qFormat/>
    <w:rsid w:val="005D7E7D"/>
    <w:pPr>
      <w:snapToGrid w:val="0"/>
      <w:jc w:val="left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rsid w:val="005D7E7D"/>
    <w:rPr>
      <w:rFonts w:ascii="Calibri" w:eastAsia="Calibri" w:hAnsi="Calibri" w:cs="Times New Roman"/>
      <w:kern w:val="2"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3</cp:revision>
  <dcterms:created xsi:type="dcterms:W3CDTF">2017-04-15T19:20:00Z</dcterms:created>
  <dcterms:modified xsi:type="dcterms:W3CDTF">2017-04-15T20:38:00Z</dcterms:modified>
</cp:coreProperties>
</file>