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Редуковани графен оксид са наночестицама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ZnO/CdO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 и његове каталитичке перформансе у деградацији органских полутаната</w:t>
      </w:r>
    </w:p>
    <w:p>
      <w:pPr>
        <w:pStyle w:val="Default"/>
        <w:bidi w:val="0"/>
        <w:spacing w:line="360" w:lineRule="auto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360" w:lineRule="auto"/>
        <w:ind w:left="0" w:right="278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Наночестице </w:t>
      </w:r>
      <w:r>
        <w:rPr>
          <w:rFonts w:ascii="Verdana" w:hAnsi="Verdana"/>
          <w:sz w:val="20"/>
          <w:szCs w:val="20"/>
          <w:rtl w:val="0"/>
        </w:rPr>
        <w:t>ZnO/CdO</w:t>
      </w:r>
      <w:r>
        <w:rPr>
          <w:rFonts w:ascii="Verdana" w:hAnsi="Verdana" w:hint="default"/>
          <w:sz w:val="20"/>
          <w:szCs w:val="20"/>
          <w:rtl w:val="0"/>
        </w:rPr>
        <w:t xml:space="preserve"> су нанесене на редуковани графен оксид </w:t>
      </w:r>
      <w:r>
        <w:rPr>
          <w:rFonts w:ascii="Verdana" w:hAnsi="Verdana"/>
          <w:sz w:val="20"/>
          <w:szCs w:val="20"/>
          <w:rtl w:val="0"/>
        </w:rPr>
        <w:t>(</w:t>
      </w:r>
      <w:r>
        <w:rPr>
          <w:rFonts w:ascii="Verdana" w:hAnsi="Verdana"/>
          <w:sz w:val="20"/>
          <w:szCs w:val="20"/>
          <w:rtl w:val="0"/>
        </w:rPr>
        <w:t>ZnO/CdO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редуковани графен оксид</w:t>
      </w:r>
      <w:r>
        <w:rPr>
          <w:rFonts w:ascii="Verdana" w:hAnsi="Verdana"/>
          <w:sz w:val="20"/>
          <w:szCs w:val="20"/>
          <w:rtl w:val="0"/>
        </w:rPr>
        <w:t xml:space="preserve">) </w:t>
      </w:r>
      <w:r>
        <w:rPr>
          <w:rFonts w:ascii="Verdana" w:hAnsi="Verdana" w:hint="default"/>
          <w:sz w:val="20"/>
          <w:szCs w:val="20"/>
          <w:rtl w:val="0"/>
        </w:rPr>
        <w:t>хидротермичким поступком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 xml:space="preserve">Структура и морфологија испитани су техникама </w:t>
      </w:r>
      <w:r>
        <w:rPr>
          <w:rFonts w:ascii="Verdana" w:hAnsi="Verdana"/>
          <w:sz w:val="20"/>
          <w:szCs w:val="20"/>
          <w:rtl w:val="0"/>
          <w:lang w:val="de-DE"/>
        </w:rPr>
        <w:t>FTIR, UV-V</w:t>
      </w:r>
      <w:r>
        <w:rPr>
          <w:rFonts w:ascii="Verdana" w:hAnsi="Verdana"/>
          <w:sz w:val="20"/>
          <w:szCs w:val="20"/>
          <w:rtl w:val="0"/>
        </w:rPr>
        <w:t>IS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XRD, EDX, DRS, SEM </w:t>
      </w:r>
      <w:r>
        <w:rPr>
          <w:rFonts w:ascii="Verdana" w:hAnsi="Verdana" w:hint="default"/>
          <w:sz w:val="20"/>
          <w:szCs w:val="20"/>
          <w:rtl w:val="0"/>
        </w:rPr>
        <w:t>и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TEM. </w:t>
      </w:r>
      <w:r>
        <w:rPr>
          <w:rFonts w:ascii="Verdana" w:hAnsi="Verdana" w:hint="default"/>
          <w:sz w:val="20"/>
          <w:szCs w:val="20"/>
          <w:rtl w:val="0"/>
        </w:rPr>
        <w:t xml:space="preserve">Оцењена су сонокаталитичка својства </w:t>
      </w:r>
      <w:r>
        <w:rPr>
          <w:rFonts w:ascii="Verdana" w:hAnsi="Verdana"/>
          <w:sz w:val="20"/>
          <w:szCs w:val="20"/>
          <w:rtl w:val="0"/>
        </w:rPr>
        <w:t>ZnO/CdO/</w:t>
      </w:r>
      <w:r>
        <w:rPr>
          <w:rFonts w:ascii="Verdana" w:hAnsi="Verdana" w:hint="default"/>
          <w:sz w:val="20"/>
          <w:szCs w:val="20"/>
          <w:rtl w:val="0"/>
          <w:lang w:val="ru-RU"/>
        </w:rPr>
        <w:t>редукован</w:t>
      </w:r>
      <w:r>
        <w:rPr>
          <w:rFonts w:ascii="Verdana" w:hAnsi="Verdana" w:hint="default"/>
          <w:sz w:val="20"/>
          <w:szCs w:val="20"/>
          <w:rtl w:val="0"/>
        </w:rPr>
        <w:t>ог</w:t>
      </w:r>
      <w:r>
        <w:rPr>
          <w:rFonts w:ascii="Verdana" w:hAnsi="Verdana" w:hint="default"/>
          <w:sz w:val="20"/>
          <w:szCs w:val="20"/>
          <w:rtl w:val="0"/>
        </w:rPr>
        <w:t xml:space="preserve"> графен оксид</w:t>
      </w:r>
      <w:r>
        <w:rPr>
          <w:rFonts w:ascii="Verdana" w:hAnsi="Verdana" w:hint="default"/>
          <w:sz w:val="20"/>
          <w:szCs w:val="20"/>
          <w:rtl w:val="0"/>
        </w:rPr>
        <w:t xml:space="preserve">а у деградацији мефенамичне киселине </w:t>
      </w:r>
      <w:r>
        <w:rPr>
          <w:rFonts w:ascii="Verdana" w:hAnsi="Verdana"/>
          <w:sz w:val="20"/>
          <w:szCs w:val="20"/>
          <w:rtl w:val="0"/>
        </w:rPr>
        <w:t xml:space="preserve">(MEF), </w:t>
      </w:r>
      <w:r>
        <w:rPr>
          <w:rFonts w:ascii="Verdana" w:hAnsi="Verdana" w:hint="default"/>
          <w:sz w:val="20"/>
          <w:szCs w:val="20"/>
          <w:rtl w:val="0"/>
        </w:rPr>
        <w:t>метил оранжа</w:t>
      </w:r>
      <w:r>
        <w:rPr>
          <w:rFonts w:ascii="Verdana" w:hAnsi="Verdana"/>
          <w:sz w:val="20"/>
          <w:szCs w:val="20"/>
          <w:rtl w:val="0"/>
        </w:rPr>
        <w:t xml:space="preserve"> (MO), </w:t>
      </w:r>
      <w:r>
        <w:rPr>
          <w:rFonts w:ascii="Verdana" w:hAnsi="Verdana" w:hint="default"/>
          <w:sz w:val="20"/>
          <w:szCs w:val="20"/>
          <w:rtl w:val="0"/>
        </w:rPr>
        <w:t>родамина</w:t>
      </w:r>
      <w:r>
        <w:rPr>
          <w:rFonts w:ascii="Verdana" w:hAnsi="Verdana"/>
          <w:sz w:val="20"/>
          <w:szCs w:val="20"/>
          <w:rtl w:val="0"/>
        </w:rPr>
        <w:t xml:space="preserve"> (RhB) </w:t>
      </w:r>
      <w:r>
        <w:rPr>
          <w:rFonts w:ascii="Verdana" w:hAnsi="Verdana" w:hint="default"/>
          <w:sz w:val="20"/>
          <w:szCs w:val="20"/>
          <w:rtl w:val="0"/>
        </w:rPr>
        <w:t>и</w:t>
      </w:r>
      <w:r>
        <w:rPr>
          <w:rFonts w:ascii="Verdana" w:hAnsi="Verdana"/>
          <w:sz w:val="20"/>
          <w:szCs w:val="20"/>
          <w:rtl w:val="0"/>
        </w:rPr>
        <w:t xml:space="preserve"> 4-</w:t>
      </w:r>
      <w:r>
        <w:rPr>
          <w:rFonts w:ascii="Verdana" w:hAnsi="Verdana" w:hint="default"/>
          <w:sz w:val="20"/>
          <w:szCs w:val="20"/>
          <w:rtl w:val="0"/>
        </w:rPr>
        <w:t>нитроаналина</w:t>
      </w:r>
      <w:r>
        <w:rPr>
          <w:rFonts w:ascii="Verdana" w:hAnsi="Verdana"/>
          <w:sz w:val="20"/>
          <w:szCs w:val="20"/>
          <w:rtl w:val="0"/>
        </w:rPr>
        <w:t xml:space="preserve"> (4-NA). </w:t>
      </w:r>
      <w:r>
        <w:rPr>
          <w:rFonts w:ascii="Verdana" w:hAnsi="Verdana" w:hint="default"/>
          <w:sz w:val="20"/>
          <w:szCs w:val="20"/>
          <w:rtl w:val="0"/>
        </w:rPr>
        <w:t xml:space="preserve">У тренутку </w:t>
      </w:r>
      <w:r>
        <w:rPr>
          <w:rFonts w:ascii="Verdana" w:hAnsi="Verdana"/>
          <w:sz w:val="20"/>
          <w:szCs w:val="20"/>
          <w:rtl w:val="0"/>
        </w:rPr>
        <w:t xml:space="preserve">120 </w:t>
      </w:r>
      <w:r>
        <w:rPr>
          <w:rFonts w:ascii="Verdana" w:hAnsi="Verdana"/>
          <w:sz w:val="20"/>
          <w:szCs w:val="20"/>
          <w:rtl w:val="0"/>
        </w:rPr>
        <w:t>min</w:t>
      </w:r>
      <w:r>
        <w:rPr>
          <w:rFonts w:ascii="Verdana" w:hAnsi="Verdana" w:hint="default"/>
          <w:sz w:val="20"/>
          <w:szCs w:val="20"/>
          <w:rtl w:val="0"/>
        </w:rPr>
        <w:t xml:space="preserve"> након почетка реакција измерена је висока ефикасност деградације азо</w:t>
      </w:r>
      <w:r>
        <w:rPr>
          <w:rFonts w:ascii="Verdana" w:hAnsi="Verdana"/>
          <w:sz w:val="20"/>
          <w:szCs w:val="20"/>
          <w:rtl w:val="0"/>
        </w:rPr>
        <w:t>-</w:t>
      </w:r>
      <w:r>
        <w:rPr>
          <w:rFonts w:ascii="Verdana" w:hAnsi="Verdana" w:hint="default"/>
          <w:sz w:val="20"/>
          <w:szCs w:val="20"/>
          <w:rtl w:val="0"/>
        </w:rPr>
        <w:t xml:space="preserve">боја </w:t>
      </w:r>
      <w:r>
        <w:rPr>
          <w:rFonts w:ascii="Verdana" w:hAnsi="Verdana"/>
          <w:sz w:val="20"/>
          <w:szCs w:val="20"/>
          <w:rtl w:val="0"/>
        </w:rPr>
        <w:t xml:space="preserve">(MO: 84%, RhB: 80%), MEF: 93% </w:t>
      </w:r>
      <w:r>
        <w:rPr>
          <w:rFonts w:ascii="Verdana" w:hAnsi="Verdana" w:hint="default"/>
          <w:sz w:val="20"/>
          <w:szCs w:val="20"/>
          <w:rtl w:val="0"/>
        </w:rPr>
        <w:t>и</w:t>
      </w:r>
      <w:r>
        <w:rPr>
          <w:rFonts w:ascii="Verdana" w:hAnsi="Verdana"/>
          <w:sz w:val="20"/>
          <w:szCs w:val="20"/>
          <w:rtl w:val="0"/>
        </w:rPr>
        <w:t xml:space="preserve"> 4-NA: 95%. </w:t>
      </w:r>
      <w:r>
        <w:rPr>
          <w:rFonts w:ascii="Verdana" w:hAnsi="Verdana" w:hint="default"/>
          <w:sz w:val="20"/>
          <w:szCs w:val="20"/>
          <w:rtl w:val="0"/>
        </w:rPr>
        <w:t xml:space="preserve">Проучени су ефекти фактора као што је дозирање </w:t>
      </w:r>
      <w:r>
        <w:rPr>
          <w:rFonts w:ascii="Verdana" w:hAnsi="Verdana"/>
          <w:sz w:val="20"/>
          <w:szCs w:val="20"/>
          <w:rtl w:val="0"/>
        </w:rPr>
        <w:t>ZnO/CdO/</w:t>
      </w:r>
      <w:r>
        <w:rPr>
          <w:rFonts w:ascii="Verdana" w:hAnsi="Verdana" w:hint="default"/>
          <w:sz w:val="20"/>
          <w:szCs w:val="20"/>
          <w:rtl w:val="0"/>
        </w:rPr>
        <w:t>редукованог графен оксида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почетна концентрација органског полутанта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снага ултразвука и присуство скавенџера РОС </w:t>
      </w:r>
      <w:r>
        <w:rPr>
          <w:rFonts w:ascii="Verdana" w:hAnsi="Verdana"/>
          <w:sz w:val="20"/>
          <w:szCs w:val="20"/>
          <w:rtl w:val="0"/>
        </w:rPr>
        <w:t>(</w:t>
      </w:r>
      <w:r>
        <w:rPr>
          <w:rFonts w:ascii="Verdana" w:hAnsi="Verdana" w:hint="default"/>
          <w:sz w:val="20"/>
          <w:szCs w:val="20"/>
          <w:rtl w:val="0"/>
        </w:rPr>
        <w:t>реактивних врста кисеоника</w:t>
      </w:r>
      <w:r>
        <w:rPr>
          <w:rFonts w:ascii="Verdana" w:hAnsi="Verdana"/>
          <w:sz w:val="20"/>
          <w:szCs w:val="20"/>
          <w:rtl w:val="0"/>
        </w:rPr>
        <w:t xml:space="preserve">) </w:t>
      </w:r>
      <w:r>
        <w:rPr>
          <w:rFonts w:ascii="Verdana" w:hAnsi="Verdana" w:hint="default"/>
          <w:sz w:val="20"/>
          <w:szCs w:val="20"/>
          <w:rtl w:val="0"/>
        </w:rPr>
        <w:t>на деградациону ефикасност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Нађено је да је присуство скавенџера умањује ефикасност сонокаталитичке деградације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 xml:space="preserve">Ова истраживања указују да готови припремљени нанокомпозити испољавају знатно већу каталитичку активност него </w:t>
      </w:r>
      <w:r>
        <w:rPr>
          <w:rFonts w:ascii="Verdana" w:hAnsi="Verdana"/>
          <w:sz w:val="20"/>
          <w:szCs w:val="20"/>
          <w:rtl w:val="0"/>
        </w:rPr>
        <w:t xml:space="preserve"> ZnO/CdO </w:t>
      </w:r>
      <w:r>
        <w:rPr>
          <w:rFonts w:ascii="Verdana" w:hAnsi="Verdana" w:hint="default"/>
          <w:sz w:val="20"/>
          <w:szCs w:val="20"/>
          <w:rtl w:val="0"/>
        </w:rPr>
        <w:t>наночестице са редукованим графен оксидом</w:t>
      </w:r>
      <w:r>
        <w:rPr>
          <w:rFonts w:ascii="Verdana" w:hAnsi="Verdana"/>
          <w:sz w:val="20"/>
          <w:szCs w:val="20"/>
          <w:rtl w:val="0"/>
        </w:rPr>
        <w:t xml:space="preserve"> (rGO).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rpski" w:val="‘“(〔[{〈《「『【⦅〘〖«〝︵︷︹︻︽︿﹁﹃﹇﹙﹛﹝｢"/>
  <w:noLineBreaksBefore w:lang="srp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