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53" w:rsidRPr="00156B58" w:rsidRDefault="00367E53" w:rsidP="009A0B86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Response letter</w:t>
      </w:r>
    </w:p>
    <w:p w:rsidR="009A0B86" w:rsidRPr="00156B58" w:rsidRDefault="009A0B86" w:rsidP="009A0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56B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DFT study of the chemical reactivity of </w:t>
      </w:r>
      <w:proofErr w:type="spellStart"/>
      <w:r w:rsidRPr="00156B58">
        <w:rPr>
          <w:rFonts w:ascii="Times New Roman" w:hAnsi="Times New Roman" w:cs="Times New Roman"/>
          <w:b/>
          <w:sz w:val="24"/>
          <w:szCs w:val="24"/>
          <w:lang w:val="en-GB"/>
        </w:rPr>
        <w:t>thiobencarb</w:t>
      </w:r>
      <w:proofErr w:type="spellEnd"/>
      <w:r w:rsidRPr="00156B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its oxidized derivatives in aqueous phase.</w:t>
      </w:r>
    </w:p>
    <w:p w:rsidR="009A0B86" w:rsidRPr="00156B58" w:rsidRDefault="009A0B86" w:rsidP="009A0B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156B58">
        <w:rPr>
          <w:rFonts w:ascii="Times New Roman" w:hAnsi="Times New Roman" w:cs="Times New Roman"/>
          <w:sz w:val="24"/>
          <w:szCs w:val="24"/>
          <w:lang w:val="es-MX"/>
        </w:rPr>
        <w:t>LUIS HUMBERTO MENDOZA-HUIZAR</w:t>
      </w:r>
      <w:r w:rsidRPr="00156B58">
        <w:rPr>
          <w:rFonts w:ascii="Times New Roman" w:hAnsi="Times New Roman" w:cs="Times New Roman"/>
          <w:sz w:val="24"/>
          <w:szCs w:val="24"/>
          <w:lang w:val="es-MX"/>
        </w:rPr>
        <w:footnoteReference w:customMarkFollows="1" w:id="1"/>
        <w:t>*</w:t>
      </w:r>
    </w:p>
    <w:p w:rsidR="00367E53" w:rsidRPr="00E96A43" w:rsidRDefault="00367E5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</w:pPr>
    </w:p>
    <w:p w:rsidR="009A0B86" w:rsidRPr="00E96A43" w:rsidRDefault="00BF577B" w:rsidP="00BF577B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</w:pPr>
      <w:r w:rsidRPr="00E96A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MX"/>
        </w:rPr>
        <w:t>Reviewer 1</w:t>
      </w:r>
    </w:p>
    <w:p w:rsidR="00367E53" w:rsidRPr="00EE2F35" w:rsidRDefault="00367E53" w:rsidP="009B3DC9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1. Why have author changed </w:t>
      </w:r>
      <w:proofErr w:type="spell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basiset</w:t>
      </w:r>
      <w:proofErr w:type="spell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for calculating reactivity parameters? </w:t>
      </w:r>
      <w:proofErr w:type="gram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justification</w:t>
      </w:r>
      <w:proofErr w:type="gram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needed.</w:t>
      </w:r>
    </w:p>
    <w:p w:rsidR="00367E53" w:rsidRPr="00156B58" w:rsidRDefault="00367E5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Answer:</w:t>
      </w:r>
    </w:p>
    <w:p w:rsidR="00367E53" w:rsidRDefault="00367E53" w:rsidP="00E96A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apologizes by this mistake, in all cases the level of theory is th</w:t>
      </w:r>
      <w:r w:rsid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specified in the methodology section i.e. </w:t>
      </w:r>
      <w:r w:rsidRPr="00156B58">
        <w:rPr>
          <w:rFonts w:ascii="Times New Roman" w:hAnsi="Times New Roman" w:cs="Times New Roman"/>
          <w:sz w:val="24"/>
          <w:szCs w:val="24"/>
        </w:rPr>
        <w:t>wB97XD/6-311++</w:t>
      </w:r>
      <w:proofErr w:type="gramStart"/>
      <w:r w:rsidRPr="00156B58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Pr="00156B58">
        <w:rPr>
          <w:rFonts w:ascii="Times New Roman" w:hAnsi="Times New Roman" w:cs="Times New Roman"/>
          <w:sz w:val="24"/>
          <w:szCs w:val="24"/>
        </w:rPr>
        <w:t>2d,2p). We have corrected this mistake</w:t>
      </w:r>
      <w:r w:rsidR="006B1C5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6B1C5D">
        <w:rPr>
          <w:rFonts w:ascii="Times New Roman" w:hAnsi="Times New Roman" w:cs="Times New Roman"/>
          <w:sz w:val="24"/>
          <w:szCs w:val="24"/>
        </w:rPr>
        <w:t>mansucript</w:t>
      </w:r>
      <w:proofErr w:type="spellEnd"/>
      <w:r w:rsidRPr="00156B58">
        <w:rPr>
          <w:rFonts w:ascii="Times New Roman" w:hAnsi="Times New Roman" w:cs="Times New Roman"/>
          <w:sz w:val="24"/>
          <w:szCs w:val="24"/>
        </w:rPr>
        <w:t>.</w:t>
      </w:r>
    </w:p>
    <w:p w:rsidR="00367E53" w:rsidRPr="00156B58" w:rsidRDefault="00367E5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7E53" w:rsidRPr="00EE2F35" w:rsidRDefault="00367E53">
      <w:pPr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2. Section” Experimental “would be altered as Computational</w:t>
      </w:r>
    </w:p>
    <w:p w:rsidR="00367E53" w:rsidRPr="00156B58" w:rsidRDefault="00367E5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Answer: </w:t>
      </w:r>
    </w:p>
    <w:p w:rsidR="00367E53" w:rsidRPr="00156B58" w:rsidRDefault="00367E5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agree, we have </w:t>
      </w:r>
      <w:r w:rsidR="00E96A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done the correction.</w:t>
      </w:r>
    </w:p>
    <w:p w:rsidR="00367E53" w:rsidRPr="00156B58" w:rsidRDefault="00367E5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7E53" w:rsidRPr="00EE2F35" w:rsidRDefault="00367E53">
      <w:pPr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3. PCM Model – aqueous phase descriptors are not available.</w:t>
      </w:r>
    </w:p>
    <w:p w:rsidR="00367E53" w:rsidRPr="00156B58" w:rsidRDefault="00367E5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Answer:</w:t>
      </w:r>
    </w:p>
    <w:p w:rsidR="00367E53" w:rsidRDefault="00367E5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fact, all chemical descriptors</w:t>
      </w:r>
      <w:r w:rsidR="00AD1C13"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were determined in aqueous phase.</w:t>
      </w:r>
      <w:r w:rsidR="00E96A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sake of clarity we have done the modification of the description of Table I as:</w:t>
      </w:r>
    </w:p>
    <w:p w:rsidR="00E96A43" w:rsidRDefault="00E96A4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6A43" w:rsidRPr="00091B0C" w:rsidRDefault="00E96A43" w:rsidP="00E96A43">
      <w:pPr>
        <w:spacing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1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able I</w:t>
      </w:r>
      <w:r w:rsidRPr="00091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Global reactivity descriptors evaluated for TB and its dechlorinated forms at the </w:t>
      </w:r>
      <w:r w:rsidRPr="00091B0C">
        <w:rPr>
          <w:rFonts w:ascii="Times New Roman" w:hAnsi="Times New Roman"/>
          <w:sz w:val="24"/>
          <w:szCs w:val="24"/>
        </w:rPr>
        <w:t>wB97XD/6-311++</w:t>
      </w:r>
      <w:proofErr w:type="gramStart"/>
      <w:r w:rsidRPr="00091B0C">
        <w:rPr>
          <w:rFonts w:ascii="Times New Roman" w:hAnsi="Times New Roman"/>
          <w:sz w:val="24"/>
          <w:szCs w:val="24"/>
        </w:rPr>
        <w:t>G(</w:t>
      </w:r>
      <w:proofErr w:type="gramEnd"/>
      <w:r w:rsidRPr="00091B0C">
        <w:rPr>
          <w:rFonts w:ascii="Times New Roman" w:hAnsi="Times New Roman"/>
          <w:sz w:val="24"/>
          <w:szCs w:val="24"/>
        </w:rPr>
        <w:t>2d,2p)</w:t>
      </w:r>
      <w:r w:rsidRPr="00091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level of theory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91B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the aqueous phase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FE077C">
        <w:rPr>
          <w:rFonts w:ascii="Times New Roman" w:hAnsi="Times New Roman"/>
          <w:sz w:val="24"/>
          <w:szCs w:val="24"/>
          <w:highlight w:val="yellow"/>
        </w:rPr>
        <w:t>employing the PCM solvation model,</w:t>
      </w:r>
      <w:r w:rsidRPr="00FE077C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according to the equations (1), (3) and (4).</w:t>
      </w:r>
    </w:p>
    <w:p w:rsidR="00E96A43" w:rsidRDefault="00E96A4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67E53" w:rsidRPr="00EE2F35" w:rsidRDefault="00AD1C13">
      <w:pPr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4</w:t>
      </w:r>
      <w:r w:rsidR="00367E53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. </w:t>
      </w:r>
      <w:proofErr w:type="gramStart"/>
      <w:r w:rsidR="00367E53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E(</w:t>
      </w:r>
      <w:proofErr w:type="gramEnd"/>
      <w:r w:rsidR="00367E53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N - 1) description not given</w:t>
      </w:r>
    </w:p>
    <w:p w:rsidR="00AD1C13" w:rsidRPr="00156B58" w:rsidRDefault="00AD1C1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Answer:</w:t>
      </w:r>
    </w:p>
    <w:p w:rsidR="00367E53" w:rsidRDefault="00AD1C1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We agree, we have added the description of </w:t>
      </w:r>
      <w:proofErr w:type="gramStart"/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E(</w:t>
      </w:r>
      <w:proofErr w:type="gramEnd"/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- 1)</w:t>
      </w:r>
      <w:r w:rsidR="00E96A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Now it is possibl</w:t>
      </w:r>
      <w:r w:rsidR="004D66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E96A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read on page </w:t>
      </w:r>
      <w:r w:rsidR="009B3D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E96A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last paragraph.</w:t>
      </w:r>
    </w:p>
    <w:p w:rsidR="00E96A43" w:rsidRDefault="00E96A4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6A43" w:rsidRDefault="00E96A43" w:rsidP="009B3DC9">
      <w:pPr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…………………….</w:t>
      </w:r>
      <w:r w:rsidRPr="00430AB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where </w:t>
      </w:r>
      <w:proofErr w:type="gramStart"/>
      <w:r w:rsidRPr="00430AB9">
        <w:rPr>
          <w:rStyle w:val="nfasis"/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E(</w:t>
      </w:r>
      <w:proofErr w:type="gramEnd"/>
      <w:r w:rsidRPr="00430AB9">
        <w:rPr>
          <w:rStyle w:val="nfasis"/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N - 1) corresponds to the energy of the cationic </w:t>
      </w:r>
      <w:r>
        <w:rPr>
          <w:rStyle w:val="nfasis"/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configuration</w:t>
      </w:r>
      <w:r>
        <w:rPr>
          <w:rStyle w:val="nfasis"/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……………………..</w:t>
      </w:r>
    </w:p>
    <w:p w:rsidR="00E96A43" w:rsidRDefault="00E96A4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6A43" w:rsidRPr="00156B58" w:rsidRDefault="00E96A43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D1C13" w:rsidRPr="00156B58" w:rsidRDefault="00AD1C1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E2636" w:rsidRPr="00EE2F35" w:rsidRDefault="00367E53">
      <w:pPr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4.  No emphasis on toxicity is made with reference to the studied parameters.</w:t>
      </w:r>
    </w:p>
    <w:p w:rsidR="00156B58" w:rsidRPr="00156B58" w:rsidRDefault="00156B58" w:rsidP="00156B58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Answer:</w:t>
      </w:r>
    </w:p>
    <w:p w:rsidR="004E34A1" w:rsidRDefault="001313BD" w:rsidP="001313BD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agree, w</w:t>
      </w:r>
      <w:r w:rsid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have done an analysis of the toxicity in function of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electrophilicity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index. Thus,</w:t>
      </w:r>
      <w:r w:rsidR="004E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new equations were considered, now it is possible to read on page 4.</w:t>
      </w:r>
    </w:p>
    <w:p w:rsidR="004E34A1" w:rsidRDefault="004E34A1" w:rsidP="001313BD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E34A1" w:rsidRPr="008334FF" w:rsidRDefault="004E34A1" w:rsidP="004E34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67D8A">
        <w:rPr>
          <w:rFonts w:ascii="Times New Roman" w:hAnsi="Times New Roman"/>
          <w:sz w:val="24"/>
          <w:szCs w:val="24"/>
          <w:highlight w:val="yellow"/>
        </w:rPr>
        <w:t xml:space="preserve">From this reactivity index it is possible to define the </w:t>
      </w:r>
      <w:proofErr w:type="spellStart"/>
      <w:r w:rsidRPr="00067D8A">
        <w:rPr>
          <w:rFonts w:ascii="Times New Roman" w:hAnsi="Times New Roman"/>
          <w:sz w:val="24"/>
          <w:szCs w:val="24"/>
          <w:highlight w:val="yellow"/>
        </w:rPr>
        <w:t>electrodonating</w:t>
      </w:r>
      <w:proofErr w:type="spellEnd"/>
      <w:r w:rsidRPr="00067D8A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Pr="00067D8A">
        <w:rPr>
          <w:rFonts w:ascii="Symbol" w:hAnsi="Symbol"/>
          <w:i/>
          <w:sz w:val="24"/>
          <w:szCs w:val="24"/>
          <w:highlight w:val="yellow"/>
        </w:rPr>
        <w:t></w:t>
      </w:r>
      <w:r w:rsidRPr="00067D8A">
        <w:rPr>
          <w:rFonts w:ascii="Times New Roman" w:hAnsi="Times New Roman"/>
          <w:sz w:val="24"/>
          <w:szCs w:val="24"/>
          <w:highlight w:val="yellow"/>
          <w:vertAlign w:val="superscript"/>
        </w:rPr>
        <w:t>-</w:t>
      </w:r>
      <w:r w:rsidRPr="00067D8A">
        <w:rPr>
          <w:rFonts w:ascii="Times New Roman" w:hAnsi="Times New Roman"/>
          <w:sz w:val="24"/>
          <w:szCs w:val="24"/>
          <w:highlight w:val="yellow"/>
        </w:rPr>
        <w:t xml:space="preserve">) and </w:t>
      </w:r>
      <w:proofErr w:type="spellStart"/>
      <w:r w:rsidRPr="00067D8A">
        <w:rPr>
          <w:rFonts w:ascii="Times New Roman" w:hAnsi="Times New Roman"/>
          <w:sz w:val="24"/>
          <w:szCs w:val="24"/>
          <w:highlight w:val="yellow"/>
        </w:rPr>
        <w:t>electroaccepting</w:t>
      </w:r>
      <w:proofErr w:type="spellEnd"/>
      <w:r w:rsidRPr="00067D8A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Pr="00067D8A">
        <w:rPr>
          <w:rFonts w:ascii="Symbol" w:hAnsi="Symbol"/>
          <w:i/>
          <w:sz w:val="24"/>
          <w:szCs w:val="24"/>
          <w:highlight w:val="yellow"/>
        </w:rPr>
        <w:t></w:t>
      </w:r>
      <w:r w:rsidRPr="00067D8A">
        <w:rPr>
          <w:rFonts w:ascii="Times New Roman" w:hAnsi="Times New Roman"/>
          <w:sz w:val="24"/>
          <w:szCs w:val="24"/>
          <w:highlight w:val="yellow"/>
          <w:vertAlign w:val="superscript"/>
        </w:rPr>
        <w:t>+</w:t>
      </w:r>
      <w:r w:rsidRPr="00067D8A">
        <w:rPr>
          <w:rFonts w:ascii="Times New Roman" w:hAnsi="Times New Roman"/>
          <w:sz w:val="24"/>
          <w:szCs w:val="24"/>
          <w:highlight w:val="yellow"/>
        </w:rPr>
        <w:t>) powers</w:t>
      </w:r>
      <w:r>
        <w:rPr>
          <w:rFonts w:ascii="Times New Roman" w:hAnsi="Times New Roman"/>
          <w:sz w:val="24"/>
          <w:szCs w:val="24"/>
          <w:highlight w:val="yellow"/>
        </w:rPr>
        <w:t xml:space="preserve"> as</w:t>
      </w:r>
      <w:proofErr w:type="gramStart"/>
      <w:r w:rsidRPr="00283A99">
        <w:rPr>
          <w:rFonts w:ascii="Times New Roman" w:hAnsi="Times New Roman"/>
          <w:sz w:val="24"/>
          <w:szCs w:val="24"/>
          <w:highlight w:val="yellow"/>
        </w:rPr>
        <w:t>:</w:t>
      </w:r>
      <w:r w:rsidRPr="00283A99">
        <w:rPr>
          <w:highlight w:val="yellow"/>
          <w:vertAlign w:val="superscript"/>
        </w:rPr>
        <w:t>32</w:t>
      </w:r>
      <w:proofErr w:type="gramEnd"/>
    </w:p>
    <w:p w:rsidR="004E34A1" w:rsidRPr="00421F94" w:rsidRDefault="004E34A1" w:rsidP="004E34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21F94">
        <w:rPr>
          <w:rFonts w:ascii="Times New Roman" w:hAnsi="Times New Roman"/>
          <w:position w:val="-28"/>
          <w:sz w:val="24"/>
          <w:szCs w:val="24"/>
          <w:highlight w:val="yellow"/>
        </w:rPr>
        <w:object w:dxaOrig="12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05pt;height:36pt" o:ole="">
            <v:imagedata r:id="rId7" o:title=""/>
          </v:shape>
          <o:OLEObject Type="Embed" ProgID="Equation.3" ShapeID="_x0000_i1025" DrawAspect="Content" ObjectID="_1577283869" r:id="rId8"/>
        </w:object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  <w:t>(5)</w:t>
      </w:r>
    </w:p>
    <w:p w:rsidR="004E34A1" w:rsidRPr="00421F94" w:rsidRDefault="004E34A1" w:rsidP="004E34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21F94">
        <w:rPr>
          <w:rFonts w:ascii="Times New Roman" w:hAnsi="Times New Roman"/>
          <w:position w:val="-28"/>
          <w:sz w:val="24"/>
          <w:szCs w:val="24"/>
          <w:highlight w:val="yellow"/>
        </w:rPr>
        <w:object w:dxaOrig="1219" w:dyaOrig="740">
          <v:shape id="_x0000_i1026" type="#_x0000_t75" style="width:50.05pt;height:36pt" o:ole="">
            <v:imagedata r:id="rId9" o:title=""/>
          </v:shape>
          <o:OLEObject Type="Embed" ProgID="Equation.3" ShapeID="_x0000_i1026" DrawAspect="Content" ObjectID="_1577283870" r:id="rId10"/>
        </w:object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</w:r>
      <w:r w:rsidRPr="00421F94">
        <w:rPr>
          <w:rFonts w:ascii="Times New Roman" w:hAnsi="Times New Roman"/>
          <w:sz w:val="24"/>
          <w:szCs w:val="24"/>
          <w:highlight w:val="yellow"/>
        </w:rPr>
        <w:tab/>
        <w:t>(6)</w:t>
      </w:r>
    </w:p>
    <w:p w:rsidR="004E34A1" w:rsidRDefault="006B1C5D" w:rsidP="004E34A1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  <w:highlight w:val="yellow"/>
        </w:rPr>
        <w:t>where</w:t>
      </w:r>
      <w:proofErr w:type="gramEnd"/>
    </w:p>
    <w:p w:rsidR="004E34A1" w:rsidRDefault="004E34A1" w:rsidP="004E34A1">
      <w:pPr>
        <w:spacing w:line="240" w:lineRule="auto"/>
        <w:ind w:left="720"/>
        <w:jc w:val="both"/>
        <w:rPr>
          <w:highlight w:val="yellow"/>
        </w:rPr>
      </w:pPr>
      <w:r w:rsidRPr="00421F94">
        <w:rPr>
          <w:position w:val="-24"/>
          <w:highlight w:val="yellow"/>
        </w:rPr>
        <w:object w:dxaOrig="1740" w:dyaOrig="620">
          <v:shape id="_x0000_i1027" type="#_x0000_t75" style="width:86.05pt;height:29.45pt" o:ole="">
            <v:imagedata r:id="rId11" o:title=""/>
          </v:shape>
          <o:OLEObject Type="Embed" ProgID="Equation.3" ShapeID="_x0000_i1027" DrawAspect="Content" ObjectID="_1577283871" r:id="rId12"/>
        </w:objec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(7)</w:t>
      </w:r>
    </w:p>
    <w:p w:rsidR="004E34A1" w:rsidRDefault="004E34A1" w:rsidP="004E34A1">
      <w:pPr>
        <w:spacing w:line="240" w:lineRule="auto"/>
        <w:ind w:left="720"/>
        <w:jc w:val="both"/>
        <w:rPr>
          <w:highlight w:val="yellow"/>
        </w:rPr>
      </w:pPr>
      <w:proofErr w:type="gramStart"/>
      <w:r>
        <w:rPr>
          <w:highlight w:val="yellow"/>
        </w:rPr>
        <w:t>and</w:t>
      </w:r>
      <w:proofErr w:type="gramEnd"/>
      <w:r>
        <w:rPr>
          <w:highlight w:val="yellow"/>
        </w:rPr>
        <w:t>,</w:t>
      </w:r>
    </w:p>
    <w:p w:rsidR="004E34A1" w:rsidRDefault="004E34A1" w:rsidP="004E34A1">
      <w:pPr>
        <w:spacing w:line="240" w:lineRule="auto"/>
        <w:ind w:left="720"/>
        <w:jc w:val="both"/>
      </w:pPr>
      <w:r w:rsidRPr="00781C45">
        <w:rPr>
          <w:position w:val="-24"/>
          <w:highlight w:val="yellow"/>
        </w:rPr>
        <w:object w:dxaOrig="1740" w:dyaOrig="620">
          <v:shape id="_x0000_i1028" type="#_x0000_t75" style="width:86.05pt;height:29.45pt" o:ole="">
            <v:imagedata r:id="rId13" o:title=""/>
          </v:shape>
          <o:OLEObject Type="Embed" ProgID="Equation.3" ShapeID="_x0000_i1028" DrawAspect="Content" ObjectID="_1577283872" r:id="rId14"/>
        </w:object>
      </w:r>
      <w:r w:rsidRPr="00781C45">
        <w:rPr>
          <w:highlight w:val="yellow"/>
        </w:rPr>
        <w:tab/>
      </w:r>
      <w:r w:rsidRPr="00781C45">
        <w:rPr>
          <w:highlight w:val="yellow"/>
        </w:rPr>
        <w:tab/>
      </w:r>
      <w:r w:rsidRPr="00781C45">
        <w:rPr>
          <w:highlight w:val="yellow"/>
        </w:rPr>
        <w:tab/>
      </w:r>
      <w:r w:rsidRPr="00781C45">
        <w:rPr>
          <w:highlight w:val="yellow"/>
        </w:rPr>
        <w:tab/>
      </w:r>
      <w:r w:rsidRPr="00781C45">
        <w:rPr>
          <w:highlight w:val="yellow"/>
        </w:rPr>
        <w:tab/>
      </w:r>
      <w:r w:rsidRPr="00781C45">
        <w:rPr>
          <w:highlight w:val="yellow"/>
        </w:rPr>
        <w:tab/>
      </w:r>
      <w:r w:rsidRPr="00781C45">
        <w:rPr>
          <w:highlight w:val="yellow"/>
        </w:rPr>
        <w:tab/>
      </w:r>
      <w:r w:rsidRPr="00781C45">
        <w:rPr>
          <w:highlight w:val="yellow"/>
        </w:rPr>
        <w:tab/>
        <w:t>(8)</w:t>
      </w:r>
    </w:p>
    <w:p w:rsidR="004E34A1" w:rsidRDefault="004E34A1" w:rsidP="001313BD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313BD" w:rsidRDefault="001313BD" w:rsidP="001313BD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discussion of the toxicity employing these reactivity descriptors is found </w:t>
      </w:r>
      <w:r w:rsidR="00926F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 </w:t>
      </w:r>
      <w:r w:rsidR="00926F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last paragraph in page 9. Now it is possible to read.</w:t>
      </w:r>
    </w:p>
    <w:p w:rsidR="00926FF7" w:rsidRDefault="00926FF7" w:rsidP="001313BD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26FF7" w:rsidRDefault="00926FF7" w:rsidP="001313BD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26FF7" w:rsidRDefault="00926FF7" w:rsidP="00926FF7">
      <w:pPr>
        <w:spacing w:line="240" w:lineRule="auto"/>
        <w:ind w:left="720"/>
        <w:jc w:val="both"/>
      </w:pPr>
      <w:r w:rsidRPr="00904F8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lastRenderedPageBreak/>
        <w:t>Here, it is interesting to mention that the origin of toxicity is supposed to be governed by the possible charge transfer between a toxin and a biosystem</w:t>
      </w:r>
      <w:r w:rsidRPr="00D53CF8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,</w:t>
      </w:r>
      <w:r w:rsidRPr="00D53CF8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vertAlign w:val="superscript"/>
        </w:rPr>
        <w:t>43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vertAlign w:val="superscript"/>
        </w:rPr>
        <w:t xml:space="preserve"> </w:t>
      </w:r>
      <w:r w:rsidRPr="00904F8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for example electrophilic substances can form covalent bonds to proteins and DNA, resulting in reactive toxicity and according diseases such as dermal or respiratory sensitization and mutagenicity</w:t>
      </w:r>
      <w:r w:rsidRPr="00D53CF8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.</w:t>
      </w:r>
      <w:r w:rsidRPr="00D53CF8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vertAlign w:val="superscript"/>
        </w:rPr>
        <w:t>44</w:t>
      </w:r>
      <w:r w:rsidRPr="00D53CF8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E54AD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In this sense, </w:t>
      </w:r>
      <w:r w:rsidRPr="00E54AD0">
        <w:rPr>
          <w:rFonts w:ascii="Times New Roman" w:hAnsi="Times New Roman" w:cs="Times New Roman"/>
          <w:sz w:val="24"/>
          <w:szCs w:val="24"/>
          <w:highlight w:val="yellow"/>
        </w:rPr>
        <w:t xml:space="preserve">the origin of the toxicity may be </w:t>
      </w:r>
      <w:r w:rsidRPr="00E54AD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attributed to the electron accepting nature</w:t>
      </w:r>
      <w:r w:rsidRPr="00E54A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E54AD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vertAlign w:val="superscript"/>
        </w:rPr>
        <w:t>43</w:t>
      </w:r>
      <w:r w:rsidRPr="00D53CF8">
        <w:rPr>
          <w:highlight w:val="yellow"/>
        </w:rPr>
        <w:t xml:space="preserve"> </w:t>
      </w:r>
      <w:r w:rsidRPr="00E54AD0">
        <w:rPr>
          <w:rFonts w:ascii="Times New Roman" w:hAnsi="Times New Roman" w:cs="Times New Roman"/>
          <w:sz w:val="24"/>
          <w:szCs w:val="24"/>
          <w:highlight w:val="yellow"/>
        </w:rPr>
        <w:t>which may be evaluated through equation (6).</w:t>
      </w:r>
      <w:r w:rsidRPr="00D53CF8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vertAlign w:val="superscript"/>
        </w:rPr>
        <w:t xml:space="preserve">45 </w:t>
      </w:r>
      <w:r w:rsidRPr="00930B1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In Table II </w:t>
      </w:r>
      <w:r w:rsidR="006B1C5D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are</w:t>
      </w:r>
      <w:r w:rsidRPr="00930B1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reported the values of </w:t>
      </w:r>
      <w:r w:rsidRPr="00D50C45">
        <w:rPr>
          <w:rFonts w:ascii="Symbol" w:hAnsi="Symbol"/>
          <w:i/>
          <w:color w:val="000000"/>
          <w:sz w:val="24"/>
          <w:szCs w:val="24"/>
          <w:highlight w:val="yellow"/>
          <w:shd w:val="clear" w:color="auto" w:fill="FFFFFF"/>
        </w:rPr>
        <w:t></w:t>
      </w:r>
      <w:r w:rsidRPr="00B82456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vertAlign w:val="superscript"/>
        </w:rPr>
        <w:t>+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for the compounds analyzed in the present work. 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Observe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that DTB exhibit a lower value of </w:t>
      </w:r>
      <w:r w:rsidRPr="001465BE">
        <w:rPr>
          <w:rFonts w:ascii="Symbol" w:hAnsi="Symbol"/>
          <w:i/>
          <w:color w:val="000000"/>
          <w:sz w:val="24"/>
          <w:szCs w:val="24"/>
          <w:highlight w:val="yellow"/>
          <w:shd w:val="clear" w:color="auto" w:fill="FFFFFF"/>
        </w:rPr>
        <w:t>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vertAlign w:val="superscript"/>
        </w:rPr>
        <w:t xml:space="preserve">+ 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in comparison to TB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suggesting a major toxicity by DBT. Indeed t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his result is coincident with the reported experimentally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because DBT is more toxic than TB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.</w:t>
      </w:r>
      <w:r w:rsidRPr="00CE75ED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vertAlign w:val="superscript"/>
        </w:rPr>
        <w:t>8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Also, note that the </w:t>
      </w:r>
      <w:r w:rsidRPr="001465BE">
        <w:rPr>
          <w:rFonts w:ascii="Symbol" w:hAnsi="Symbol"/>
          <w:i/>
          <w:color w:val="000000"/>
          <w:sz w:val="24"/>
          <w:szCs w:val="24"/>
          <w:highlight w:val="yellow"/>
          <w:shd w:val="clear" w:color="auto" w:fill="FFFFFF"/>
        </w:rPr>
        <w:t>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vertAlign w:val="superscript"/>
        </w:rPr>
        <w:t>+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value of </w:t>
      </w:r>
      <w:proofErr w:type="spellStart"/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DTBSu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is lower than the obtained for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TBSu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, suggesting that the first one is more toxic than the second one.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In the case of 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DTBS and TBS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, these compounds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show similar </w:t>
      </w:r>
      <w:r w:rsidRPr="001465BE">
        <w:rPr>
          <w:rFonts w:ascii="Symbol" w:hAnsi="Symbol"/>
          <w:i/>
          <w:color w:val="000000"/>
          <w:sz w:val="24"/>
          <w:szCs w:val="24"/>
          <w:highlight w:val="yellow"/>
          <w:shd w:val="clear" w:color="auto" w:fill="FFFFFF"/>
        </w:rPr>
        <w:t>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vertAlign w:val="superscript"/>
        </w:rPr>
        <w:t>+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values, indicating a similar toxicity. 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According to the last </w:t>
      </w:r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results, the more toxic </w:t>
      </w:r>
      <w:proofErr w:type="spellStart"/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thiobencarb</w:t>
      </w:r>
      <w:proofErr w:type="spellEnd"/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derivatives are DTB and </w:t>
      </w:r>
      <w:proofErr w:type="spellStart"/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DTBSu</w:t>
      </w:r>
      <w:proofErr w:type="spellEnd"/>
      <w:r w:rsidRPr="001465BE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.</w:t>
      </w:r>
    </w:p>
    <w:p w:rsidR="00926FF7" w:rsidRDefault="00926FF7" w:rsidP="00926FF7">
      <w:pPr>
        <w:spacing w:line="240" w:lineRule="auto"/>
        <w:ind w:left="720"/>
        <w:jc w:val="both"/>
      </w:pPr>
    </w:p>
    <w:p w:rsidR="00926FF7" w:rsidRPr="00091B0C" w:rsidRDefault="00926FF7" w:rsidP="00926FF7">
      <w:pPr>
        <w:spacing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75ED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Table II. </w:t>
      </w:r>
      <w:proofErr w:type="spellStart"/>
      <w:r w:rsidRPr="00CE75ED">
        <w:rPr>
          <w:rFonts w:ascii="Times New Roman" w:hAnsi="Times New Roman"/>
          <w:sz w:val="24"/>
          <w:szCs w:val="24"/>
          <w:highlight w:val="yellow"/>
        </w:rPr>
        <w:t>Electroaccepting</w:t>
      </w:r>
      <w:proofErr w:type="spellEnd"/>
      <w:r w:rsidRPr="00CE75ED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Pr="00CE75ED">
        <w:rPr>
          <w:rFonts w:ascii="Symbol" w:hAnsi="Symbol"/>
          <w:i/>
          <w:sz w:val="24"/>
          <w:szCs w:val="24"/>
          <w:highlight w:val="yellow"/>
        </w:rPr>
        <w:t></w:t>
      </w:r>
      <w:r w:rsidRPr="00CE75ED">
        <w:rPr>
          <w:rFonts w:ascii="Times New Roman" w:hAnsi="Times New Roman"/>
          <w:sz w:val="24"/>
          <w:szCs w:val="24"/>
          <w:highlight w:val="yellow"/>
          <w:vertAlign w:val="superscript"/>
        </w:rPr>
        <w:t>+</w:t>
      </w:r>
      <w:r w:rsidRPr="00CE75ED">
        <w:rPr>
          <w:rFonts w:ascii="Times New Roman" w:hAnsi="Times New Roman"/>
          <w:sz w:val="24"/>
          <w:szCs w:val="24"/>
          <w:highlight w:val="yellow"/>
        </w:rPr>
        <w:t>) powers</w:t>
      </w:r>
      <w:r w:rsidRPr="00CE75ED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evaluated at the </w:t>
      </w:r>
      <w:r w:rsidRPr="00CE75ED">
        <w:rPr>
          <w:rFonts w:ascii="Times New Roman" w:hAnsi="Times New Roman"/>
          <w:sz w:val="24"/>
          <w:szCs w:val="24"/>
          <w:highlight w:val="yellow"/>
        </w:rPr>
        <w:t>wB97XD/6-311++</w:t>
      </w:r>
      <w:proofErr w:type="gramStart"/>
      <w:r w:rsidRPr="00CE75ED">
        <w:rPr>
          <w:rFonts w:ascii="Times New Roman" w:hAnsi="Times New Roman"/>
          <w:sz w:val="24"/>
          <w:szCs w:val="24"/>
          <w:highlight w:val="yellow"/>
        </w:rPr>
        <w:t>G(</w:t>
      </w:r>
      <w:proofErr w:type="gramEnd"/>
      <w:r w:rsidRPr="00CE75ED">
        <w:rPr>
          <w:rFonts w:ascii="Times New Roman" w:hAnsi="Times New Roman"/>
          <w:sz w:val="24"/>
          <w:szCs w:val="24"/>
          <w:highlight w:val="yellow"/>
        </w:rPr>
        <w:t>2d,2p)</w:t>
      </w:r>
      <w:r w:rsidRPr="00CE75ED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level of theory in the aqueous phase, </w:t>
      </w:r>
      <w:r w:rsidRPr="00CE75ED">
        <w:rPr>
          <w:rFonts w:ascii="Times New Roman" w:hAnsi="Times New Roman"/>
          <w:sz w:val="24"/>
          <w:szCs w:val="24"/>
          <w:highlight w:val="yellow"/>
        </w:rPr>
        <w:t>employing the PCM solvation model,</w:t>
      </w:r>
      <w:r w:rsidRPr="00CE75ED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according to the equation (6).</w:t>
      </w:r>
    </w:p>
    <w:tbl>
      <w:tblPr>
        <w:tblStyle w:val="Tablanormal2"/>
        <w:tblW w:w="5235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435"/>
        <w:gridCol w:w="1200"/>
        <w:gridCol w:w="1200"/>
      </w:tblGrid>
      <w:tr w:rsidR="00926FF7" w:rsidRPr="00034BAC" w:rsidTr="00926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26FF7" w:rsidRPr="004A7123" w:rsidRDefault="00926FF7" w:rsidP="00926FF7">
            <w:pPr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26FF7" w:rsidRDefault="00926FF7" w:rsidP="00926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hAnsi="Symbol"/>
                <w:b w:val="0"/>
                <w:i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34BAC">
              <w:rPr>
                <w:rFonts w:ascii="Symbol" w:hAnsi="Symbol"/>
                <w:b w:val="0"/>
                <w:i/>
                <w:color w:val="000000"/>
                <w:sz w:val="24"/>
                <w:szCs w:val="24"/>
                <w:highlight w:val="yellow"/>
                <w:shd w:val="clear" w:color="auto" w:fill="FFFFFF"/>
              </w:rPr>
              <w:t></w:t>
            </w:r>
            <w:r w:rsidRPr="00034BAC">
              <w:rPr>
                <w:rFonts w:ascii="Symbol" w:hAnsi="Symbol"/>
                <w:b w:val="0"/>
                <w:color w:val="000000"/>
                <w:sz w:val="24"/>
                <w:szCs w:val="24"/>
                <w:highlight w:val="yellow"/>
                <w:shd w:val="clear" w:color="auto" w:fill="FFFFFF"/>
                <w:vertAlign w:val="superscript"/>
              </w:rPr>
              <w:t></w:t>
            </w:r>
          </w:p>
          <w:p w:rsidR="00926FF7" w:rsidRPr="00903695" w:rsidRDefault="00926FF7" w:rsidP="00926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highlight w:val="yellow"/>
              </w:rPr>
            </w:pPr>
            <w:r w:rsidRPr="00903695"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  <w:shd w:val="clear" w:color="auto" w:fill="FFFFFF"/>
              </w:rPr>
              <w:t>/ eV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26FF7" w:rsidRPr="004A7123" w:rsidRDefault="00926FF7" w:rsidP="00926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26FF7" w:rsidRPr="004A7123" w:rsidRDefault="00926FF7" w:rsidP="00926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26FF7" w:rsidRDefault="00926FF7" w:rsidP="00926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hAnsi="Symbol"/>
                <w:b w:val="0"/>
                <w:color w:val="000000"/>
                <w:sz w:val="24"/>
                <w:szCs w:val="24"/>
                <w:highlight w:val="yellow"/>
                <w:shd w:val="clear" w:color="auto" w:fill="FFFFFF"/>
                <w:vertAlign w:val="superscript"/>
              </w:rPr>
            </w:pPr>
            <w:r w:rsidRPr="00034BAC">
              <w:rPr>
                <w:rFonts w:ascii="Symbol" w:hAnsi="Symbol"/>
                <w:b w:val="0"/>
                <w:i/>
                <w:color w:val="000000"/>
                <w:sz w:val="24"/>
                <w:szCs w:val="24"/>
                <w:highlight w:val="yellow"/>
                <w:shd w:val="clear" w:color="auto" w:fill="FFFFFF"/>
              </w:rPr>
              <w:t></w:t>
            </w:r>
            <w:r w:rsidRPr="00034BAC">
              <w:rPr>
                <w:rFonts w:ascii="Symbol" w:hAnsi="Symbol"/>
                <w:b w:val="0"/>
                <w:color w:val="000000"/>
                <w:sz w:val="24"/>
                <w:szCs w:val="24"/>
                <w:highlight w:val="yellow"/>
                <w:shd w:val="clear" w:color="auto" w:fill="FFFFFF"/>
                <w:vertAlign w:val="superscript"/>
              </w:rPr>
              <w:t></w:t>
            </w:r>
          </w:p>
          <w:p w:rsidR="00926FF7" w:rsidRPr="004A7123" w:rsidRDefault="00926FF7" w:rsidP="00926F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color w:val="000000"/>
                <w:highlight w:val="yellow"/>
              </w:rPr>
            </w:pPr>
            <w:r w:rsidRPr="00903695"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  <w:shd w:val="clear" w:color="auto" w:fill="FFFFFF"/>
              </w:rPr>
              <w:t>/ eV</w:t>
            </w:r>
          </w:p>
        </w:tc>
      </w:tr>
      <w:tr w:rsidR="00926FF7" w:rsidRPr="00903695" w:rsidTr="0092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926FF7" w:rsidRPr="00903695" w:rsidRDefault="00926FF7" w:rsidP="00926FF7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RPr="00903695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highlight w:val="yellow"/>
              </w:rPr>
              <w:t>TB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0369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0.0195</w:t>
            </w: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0369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DTB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0369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0.0158</w:t>
            </w:r>
          </w:p>
        </w:tc>
      </w:tr>
      <w:tr w:rsidR="00926FF7" w:rsidRPr="00903695" w:rsidTr="00926FF7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il"/>
              <w:bottom w:val="nil"/>
            </w:tcBorders>
            <w:noWrap/>
            <w:hideMark/>
          </w:tcPr>
          <w:p w:rsidR="00926FF7" w:rsidRPr="00903695" w:rsidRDefault="00926FF7" w:rsidP="00926FF7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RPr="00903695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highlight w:val="yellow"/>
              </w:rPr>
              <w:t>TBS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0369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0.0201</w:t>
            </w:r>
          </w:p>
        </w:tc>
        <w:tc>
          <w:tcPr>
            <w:tcW w:w="435" w:type="dxa"/>
            <w:tcBorders>
              <w:top w:val="nil"/>
              <w:bottom w:val="nil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0369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DTBS</w:t>
            </w: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0369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0.0202</w:t>
            </w:r>
          </w:p>
        </w:tc>
      </w:tr>
      <w:tr w:rsidR="00926FF7" w:rsidRPr="00903695" w:rsidTr="0092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6FF7" w:rsidRPr="00903695" w:rsidRDefault="00926FF7" w:rsidP="00926FF7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03695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highlight w:val="yellow"/>
              </w:rPr>
              <w:t>TBSu</w:t>
            </w:r>
            <w:proofErr w:type="spellEnd"/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0369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0.0204</w:t>
            </w: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0369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DTBSu</w:t>
            </w:r>
            <w:proofErr w:type="spellEnd"/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26FF7" w:rsidRPr="00903695" w:rsidRDefault="00926FF7" w:rsidP="00926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369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0.0167</w:t>
            </w:r>
          </w:p>
        </w:tc>
      </w:tr>
    </w:tbl>
    <w:p w:rsidR="00926FF7" w:rsidRPr="00091B0C" w:rsidRDefault="00926FF7" w:rsidP="00926FF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926FF7" w:rsidRDefault="002F4FB9" w:rsidP="001313BD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new references were added.</w:t>
      </w:r>
    </w:p>
    <w:p w:rsidR="002F4FB9" w:rsidRDefault="002F4FB9" w:rsidP="002F4FB9">
      <w:pPr>
        <w:spacing w:line="240" w:lineRule="auto"/>
        <w:ind w:left="720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2F4FB9" w:rsidRPr="001C3C9E" w:rsidRDefault="002F4FB9" w:rsidP="002F4FB9">
      <w:pPr>
        <w:spacing w:line="240" w:lineRule="auto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43. A. Poland, D. </w:t>
      </w:r>
      <w:proofErr w:type="spellStart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Palen</w:t>
      </w:r>
      <w:proofErr w:type="spellEnd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, E. Glover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,</w:t>
      </w: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257E0B">
        <w:rPr>
          <w:rFonts w:ascii="Times New Roman" w:hAnsi="Times New Roman"/>
          <w:i/>
          <w:color w:val="000000"/>
          <w:sz w:val="24"/>
          <w:szCs w:val="24"/>
          <w:highlight w:val="yellow"/>
          <w:shd w:val="clear" w:color="auto" w:fill="FFFFFF"/>
        </w:rPr>
        <w:t>Nature</w:t>
      </w: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257E0B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  <w:t>300</w:t>
      </w: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(1982) 271</w:t>
      </w:r>
    </w:p>
    <w:p w:rsidR="002F4FB9" w:rsidRPr="00125DFA" w:rsidRDefault="002F4FB9" w:rsidP="002F4FB9">
      <w:pPr>
        <w:spacing w:line="240" w:lineRule="auto"/>
        <w:ind w:left="720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</w:pP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44 D. </w:t>
      </w:r>
      <w:proofErr w:type="spellStart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Wondrousch</w:t>
      </w:r>
      <w:proofErr w:type="spellEnd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, A. </w:t>
      </w:r>
      <w:proofErr w:type="spellStart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Böhme</w:t>
      </w:r>
      <w:proofErr w:type="spellEnd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, D. </w:t>
      </w:r>
      <w:proofErr w:type="spellStart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Thaens</w:t>
      </w:r>
      <w:proofErr w:type="spellEnd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, N. </w:t>
      </w:r>
      <w:proofErr w:type="spellStart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Ost</w:t>
      </w:r>
      <w:proofErr w:type="spellEnd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, G. </w:t>
      </w:r>
      <w:proofErr w:type="spellStart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Schüürmann</w:t>
      </w:r>
      <w:proofErr w:type="spellEnd"/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r w:rsidRPr="00257E0B">
        <w:rPr>
          <w:rFonts w:ascii="Times New Roman" w:hAnsi="Times New Roman"/>
          <w:i/>
          <w:color w:val="000000"/>
          <w:sz w:val="24"/>
          <w:szCs w:val="24"/>
          <w:highlight w:val="yellow"/>
          <w:shd w:val="clear" w:color="auto" w:fill="FFFFFF"/>
        </w:rPr>
        <w:t xml:space="preserve">J. Phys. </w:t>
      </w:r>
      <w:r w:rsidRPr="00423581">
        <w:rPr>
          <w:rFonts w:ascii="Times New Roman" w:hAnsi="Times New Roman"/>
          <w:i/>
          <w:color w:val="000000"/>
          <w:sz w:val="24"/>
          <w:szCs w:val="24"/>
          <w:highlight w:val="yellow"/>
          <w:shd w:val="clear" w:color="auto" w:fill="FFFFFF"/>
          <w:lang w:val="es-MX"/>
        </w:rPr>
        <w:t xml:space="preserve">Chem. </w:t>
      </w:r>
      <w:proofErr w:type="spellStart"/>
      <w:r w:rsidRPr="00257E0B">
        <w:rPr>
          <w:rFonts w:ascii="Times New Roman" w:hAnsi="Times New Roman"/>
          <w:i/>
          <w:color w:val="000000"/>
          <w:sz w:val="24"/>
          <w:szCs w:val="24"/>
          <w:highlight w:val="yellow"/>
          <w:shd w:val="clear" w:color="auto" w:fill="FFFFFF"/>
          <w:lang w:val="es-MX"/>
        </w:rPr>
        <w:t>Lett</w:t>
      </w:r>
      <w:proofErr w:type="spellEnd"/>
      <w:r w:rsidRPr="00257E0B">
        <w:rPr>
          <w:rFonts w:ascii="Times New Roman" w:hAnsi="Times New Roman"/>
          <w:i/>
          <w:color w:val="000000"/>
          <w:sz w:val="24"/>
          <w:szCs w:val="24"/>
          <w:highlight w:val="yellow"/>
          <w:shd w:val="clear" w:color="auto" w:fill="FFFFFF"/>
          <w:lang w:val="es-MX"/>
        </w:rPr>
        <w:t>.</w:t>
      </w: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 xml:space="preserve"> </w:t>
      </w:r>
      <w:r w:rsidRPr="00257E0B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  <w:lang w:val="es-MX"/>
        </w:rPr>
        <w:t>1(10)</w:t>
      </w: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>(</w:t>
      </w: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>2010</w:t>
      </w:r>
      <w:r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>)</w:t>
      </w: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 xml:space="preserve"> 1605</w:t>
      </w:r>
    </w:p>
    <w:p w:rsidR="002F4FB9" w:rsidRPr="00380FA6" w:rsidRDefault="002F4FB9" w:rsidP="002F4FB9">
      <w:pPr>
        <w:spacing w:line="240" w:lineRule="auto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4FB9">
        <w:rPr>
          <w:rFonts w:ascii="Times New Roman" w:hAnsi="Times New Roman"/>
          <w:sz w:val="24"/>
          <w:szCs w:val="24"/>
          <w:highlight w:val="yellow"/>
          <w:lang w:val="es-MX"/>
        </w:rPr>
        <w:t xml:space="preserve">45. A. U. Orozco-Valencia, A. Vela, </w:t>
      </w:r>
      <w:r w:rsidRPr="002F4FB9">
        <w:rPr>
          <w:rFonts w:ascii="Times New Roman" w:hAnsi="Times New Roman"/>
          <w:i/>
          <w:sz w:val="24"/>
          <w:szCs w:val="24"/>
          <w:highlight w:val="yellow"/>
          <w:lang w:val="es-MX"/>
        </w:rPr>
        <w:t xml:space="preserve">J. </w:t>
      </w:r>
      <w:proofErr w:type="spellStart"/>
      <w:r w:rsidRPr="002F4FB9">
        <w:rPr>
          <w:rFonts w:ascii="Times New Roman" w:hAnsi="Times New Roman"/>
          <w:i/>
          <w:sz w:val="24"/>
          <w:szCs w:val="24"/>
          <w:highlight w:val="yellow"/>
          <w:lang w:val="es-MX"/>
        </w:rPr>
        <w:t>Mex</w:t>
      </w:r>
      <w:proofErr w:type="spellEnd"/>
      <w:r w:rsidRPr="002F4FB9">
        <w:rPr>
          <w:rFonts w:ascii="Times New Roman" w:hAnsi="Times New Roman"/>
          <w:i/>
          <w:sz w:val="24"/>
          <w:szCs w:val="24"/>
          <w:highlight w:val="yellow"/>
          <w:lang w:val="es-MX"/>
        </w:rPr>
        <w:t xml:space="preserve">. </w:t>
      </w:r>
      <w:r w:rsidRPr="00125DFA">
        <w:rPr>
          <w:rFonts w:ascii="Times New Roman" w:hAnsi="Times New Roman"/>
          <w:i/>
          <w:sz w:val="24"/>
          <w:szCs w:val="24"/>
          <w:highlight w:val="yellow"/>
        </w:rPr>
        <w:t>Chem. Soc.</w:t>
      </w:r>
      <w:r w:rsidRPr="00125DF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25DFA">
        <w:rPr>
          <w:rFonts w:ascii="Times New Roman" w:hAnsi="Times New Roman"/>
          <w:b/>
          <w:sz w:val="24"/>
          <w:szCs w:val="24"/>
          <w:highlight w:val="yellow"/>
        </w:rPr>
        <w:t>56(3)</w:t>
      </w:r>
      <w:r w:rsidRPr="00125DFA">
        <w:rPr>
          <w:rFonts w:ascii="Times New Roman" w:hAnsi="Times New Roman"/>
          <w:sz w:val="24"/>
          <w:szCs w:val="24"/>
          <w:highlight w:val="yellow"/>
        </w:rPr>
        <w:t xml:space="preserve"> (2012) 294</w:t>
      </w:r>
    </w:p>
    <w:p w:rsidR="00926FF7" w:rsidRDefault="00926FF7" w:rsidP="001313BD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26FF7" w:rsidRDefault="00926FF7" w:rsidP="001313BD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577B" w:rsidRPr="00EE2F35" w:rsidRDefault="00367E53">
      <w:pPr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5. The magnitude of </w:t>
      </w:r>
      <w:proofErr w:type="spell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isosurfaces</w:t>
      </w:r>
      <w:proofErr w:type="spell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plotted is not given</w:t>
      </w:r>
    </w:p>
    <w:p w:rsidR="00BF577B" w:rsidRPr="00156B58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Answer: </w:t>
      </w:r>
    </w:p>
    <w:p w:rsidR="00BF577B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agree, we have </w:t>
      </w:r>
      <w:r w:rsidR="007426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added this data in the Figure captions.</w:t>
      </w:r>
    </w:p>
    <w:p w:rsidR="00BF577B" w:rsidRDefault="00BF577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577B" w:rsidRPr="00EE2F35" w:rsidRDefault="00367E53">
      <w:pPr>
        <w:rPr>
          <w:rFonts w:ascii="Times New Roman" w:hAnsi="Times New Roman" w:cs="Times New Roman"/>
          <w:i/>
          <w:color w:val="222222"/>
          <w:sz w:val="24"/>
          <w:szCs w:val="24"/>
          <w:u w:val="single"/>
        </w:rPr>
      </w:pP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lastRenderedPageBreak/>
        <w:t>6. Electrostatic potential map will provide more insight on reactivity they</w:t>
      </w:r>
      <w:r w:rsidR="000E2636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can refer the following paper</w:t>
      </w:r>
      <w:r w:rsidR="000E2636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1. Density functional theory investigation of cocaine water complexes</w:t>
      </w:r>
      <w:r w:rsidR="000E2636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Journal of molecular modelling, 2013</w:t>
      </w:r>
      <w:r w:rsidR="002F4FB9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.</w:t>
      </w:r>
    </w:p>
    <w:p w:rsidR="00BF577B" w:rsidRPr="00156B58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Answer: </w:t>
      </w:r>
    </w:p>
    <w:p w:rsidR="00BF577B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agree, we have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done an analysis employing electrostatic map potentials.</w:t>
      </w:r>
      <w:r w:rsidR="007426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Now</w:t>
      </w:r>
      <w:r w:rsidR="00540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it is possible to read</w:t>
      </w:r>
      <w:r w:rsidR="002F4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page 17</w:t>
      </w:r>
      <w:r w:rsidR="00540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540B89" w:rsidRDefault="00540B89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F4FB9" w:rsidRPr="005B4CD6" w:rsidRDefault="002F4FB9" w:rsidP="002F4FB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61059B">
        <w:rPr>
          <w:rFonts w:ascii="Times New Roman" w:hAnsi="Times New Roman"/>
          <w:sz w:val="24"/>
          <w:szCs w:val="24"/>
          <w:highlight w:val="yellow"/>
        </w:rPr>
        <w:t xml:space="preserve">Additional to the global and local reactivity descriptors we analyzed the reactivity of TB, TBS, and </w:t>
      </w:r>
      <w:proofErr w:type="spellStart"/>
      <w:r w:rsidRPr="0061059B">
        <w:rPr>
          <w:rFonts w:ascii="Times New Roman" w:hAnsi="Times New Roman"/>
          <w:sz w:val="24"/>
          <w:szCs w:val="24"/>
          <w:highlight w:val="yellow"/>
        </w:rPr>
        <w:t>TBSu</w:t>
      </w:r>
      <w:proofErr w:type="spellEnd"/>
      <w:r w:rsidRPr="0061059B">
        <w:rPr>
          <w:rFonts w:ascii="Times New Roman" w:hAnsi="Times New Roman"/>
          <w:sz w:val="24"/>
          <w:szCs w:val="24"/>
          <w:highlight w:val="yellow"/>
        </w:rPr>
        <w:t xml:space="preserve"> and their </w:t>
      </w:r>
      <w:proofErr w:type="spellStart"/>
      <w:r w:rsidRPr="0061059B">
        <w:rPr>
          <w:rFonts w:ascii="Times New Roman" w:hAnsi="Times New Roman"/>
          <w:sz w:val="24"/>
          <w:szCs w:val="24"/>
          <w:highlight w:val="yellow"/>
        </w:rPr>
        <w:t>dechlorinated</w:t>
      </w:r>
      <w:proofErr w:type="spellEnd"/>
      <w:r w:rsidRPr="0061059B">
        <w:rPr>
          <w:rFonts w:ascii="Times New Roman" w:hAnsi="Times New Roman"/>
          <w:sz w:val="24"/>
          <w:szCs w:val="24"/>
          <w:highlight w:val="yellow"/>
        </w:rPr>
        <w:t xml:space="preserve"> forms through maps of the electrostatic potential. </w:t>
      </w:r>
      <w:r>
        <w:rPr>
          <w:rFonts w:ascii="Times New Roman" w:hAnsi="Times New Roman"/>
          <w:sz w:val="24"/>
          <w:szCs w:val="24"/>
          <w:highlight w:val="yellow"/>
        </w:rPr>
        <w:t xml:space="preserve">This kind of maps may provide </w:t>
      </w:r>
      <w:r w:rsidRPr="005B4CD6">
        <w:rPr>
          <w:rFonts w:ascii="Times New Roman" w:hAnsi="Times New Roman"/>
          <w:sz w:val="24"/>
          <w:szCs w:val="24"/>
          <w:highlight w:val="yellow"/>
        </w:rPr>
        <w:t>insight on reactivity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 w:rsidRPr="00D53CF8">
        <w:rPr>
          <w:rFonts w:ascii="Times New Roman" w:hAnsi="Times New Roman"/>
          <w:sz w:val="24"/>
          <w:szCs w:val="24"/>
          <w:highlight w:val="yellow"/>
          <w:vertAlign w:val="superscript"/>
        </w:rPr>
        <w:t>47</w:t>
      </w:r>
      <w:r w:rsidRPr="00D53CF8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Pr="0061059B">
        <w:rPr>
          <w:rFonts w:ascii="Times New Roman" w:hAnsi="Times New Roman"/>
          <w:sz w:val="24"/>
          <w:szCs w:val="24"/>
          <w:highlight w:val="yellow"/>
        </w:rPr>
        <w:t>In</w:t>
      </w:r>
      <w:proofErr w:type="gramEnd"/>
      <w:r w:rsidRPr="0061059B">
        <w:rPr>
          <w:rFonts w:ascii="Times New Roman" w:hAnsi="Times New Roman"/>
          <w:sz w:val="24"/>
          <w:szCs w:val="24"/>
          <w:highlight w:val="yellow"/>
        </w:rPr>
        <w:t xml:space="preserve"> these maps a reactive site is a particularly charged region of a molecule that has an affinity for interacting with charged particles. Thus, a region of very low potential energy would have a very strong influence on positively charged particles or regions of particles nearby. In </w:t>
      </w:r>
      <w:r>
        <w:rPr>
          <w:rFonts w:ascii="Times New Roman" w:hAnsi="Times New Roman"/>
          <w:sz w:val="24"/>
          <w:szCs w:val="24"/>
          <w:highlight w:val="yellow"/>
        </w:rPr>
        <w:t>Figure 1S (see supplementary material)</w:t>
      </w:r>
      <w:r w:rsidRPr="0061059B">
        <w:rPr>
          <w:rFonts w:ascii="Times New Roman" w:hAnsi="Times New Roman"/>
          <w:sz w:val="24"/>
          <w:szCs w:val="24"/>
          <w:highlight w:val="yellow"/>
        </w:rPr>
        <w:t>, areas of low potential (red color), are characterized by an abundance of electrons while areas of high potential, (</w:t>
      </w:r>
      <w:r w:rsidRPr="00A43EB1">
        <w:rPr>
          <w:rFonts w:ascii="Times New Roman" w:hAnsi="Times New Roman"/>
          <w:sz w:val="24"/>
          <w:szCs w:val="24"/>
          <w:highlight w:val="yellow"/>
        </w:rPr>
        <w:t xml:space="preserve">blue color), are characterized by a relative absence of electrons. Note that </w:t>
      </w:r>
      <w:r>
        <w:rPr>
          <w:rFonts w:ascii="Times New Roman" w:hAnsi="Times New Roman"/>
          <w:sz w:val="24"/>
          <w:szCs w:val="24"/>
          <w:highlight w:val="yellow"/>
        </w:rPr>
        <w:t xml:space="preserve">the </w:t>
      </w:r>
      <w:r w:rsidRPr="00A43EB1">
        <w:rPr>
          <w:rFonts w:ascii="Times New Roman" w:hAnsi="Times New Roman"/>
          <w:sz w:val="24"/>
          <w:szCs w:val="24"/>
          <w:highlight w:val="yellow"/>
        </w:rPr>
        <w:t>oxygen atoms have the lowest values of potential in comparison to the other atoms; consequently have a high</w:t>
      </w:r>
      <w:r>
        <w:rPr>
          <w:rFonts w:ascii="Times New Roman" w:hAnsi="Times New Roman"/>
          <w:sz w:val="24"/>
          <w:szCs w:val="24"/>
          <w:highlight w:val="yellow"/>
        </w:rPr>
        <w:t>er electron density around them.</w:t>
      </w:r>
    </w:p>
    <w:p w:rsidR="00540B89" w:rsidRDefault="00540B89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B89" w:rsidRDefault="00540B89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Also </w:t>
      </w:r>
      <w:r w:rsidR="008325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Figure IS was added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supplementary material.</w:t>
      </w:r>
    </w:p>
    <w:p w:rsidR="008325E2" w:rsidRDefault="008325E2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325E2" w:rsidRPr="00916842" w:rsidRDefault="008325E2" w:rsidP="008325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8325E2" w:rsidRPr="00A76052" w:rsidTr="00FB55D1">
        <w:trPr>
          <w:trHeight w:val="692"/>
        </w:trPr>
        <w:tc>
          <w:tcPr>
            <w:tcW w:w="2975" w:type="dxa"/>
          </w:tcPr>
          <w:p w:rsidR="008325E2" w:rsidRPr="004021DE" w:rsidRDefault="008325E2" w:rsidP="008325E2">
            <w:pPr>
              <w:pStyle w:val="Prrafodelista"/>
              <w:numPr>
                <w:ilvl w:val="0"/>
                <w:numId w:val="2"/>
              </w:numPr>
              <w:ind w:hanging="691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21DE">
              <w:rPr>
                <w:rFonts w:ascii="Times New Roman" w:hAnsi="Times New Roman"/>
                <w:sz w:val="24"/>
                <w:szCs w:val="24"/>
                <w:lang w:val="es-MX"/>
              </w:rPr>
              <w:t>TB</w:t>
            </w:r>
          </w:p>
        </w:tc>
        <w:tc>
          <w:tcPr>
            <w:tcW w:w="2975" w:type="dxa"/>
          </w:tcPr>
          <w:p w:rsidR="008325E2" w:rsidRPr="004021DE" w:rsidRDefault="008325E2" w:rsidP="008325E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TB</w:t>
            </w:r>
            <w:r w:rsidRPr="004021DE">
              <w:rPr>
                <w:rFonts w:ascii="Times New Roman" w:hAnsi="Times New Roman"/>
                <w:sz w:val="24"/>
                <w:szCs w:val="24"/>
                <w:lang w:val="es-MX"/>
              </w:rPr>
              <w:t>S</w:t>
            </w:r>
          </w:p>
        </w:tc>
        <w:tc>
          <w:tcPr>
            <w:tcW w:w="2976" w:type="dxa"/>
          </w:tcPr>
          <w:p w:rsidR="008325E2" w:rsidRPr="004021DE" w:rsidRDefault="008325E2" w:rsidP="008325E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TB</w:t>
            </w:r>
            <w:r w:rsidRPr="004021DE">
              <w:rPr>
                <w:rFonts w:ascii="Times New Roman" w:hAnsi="Times New Roman"/>
                <w:sz w:val="24"/>
                <w:szCs w:val="24"/>
                <w:lang w:val="es-MX"/>
              </w:rPr>
              <w:t>Su</w:t>
            </w:r>
          </w:p>
        </w:tc>
      </w:tr>
      <w:tr w:rsidR="008325E2" w:rsidRPr="00A76052" w:rsidTr="00FB55D1">
        <w:trPr>
          <w:trHeight w:val="654"/>
        </w:trPr>
        <w:tc>
          <w:tcPr>
            <w:tcW w:w="2975" w:type="dxa"/>
          </w:tcPr>
          <w:p w:rsidR="008325E2" w:rsidRPr="00A76052" w:rsidRDefault="008325E2" w:rsidP="00FB55D1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C7D6E5D" wp14:editId="62FFAFBD">
                  <wp:extent cx="1559984" cy="1115006"/>
                  <wp:effectExtent l="0" t="0" r="254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 clor mep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523" cy="11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8325E2" w:rsidRPr="00A76052" w:rsidRDefault="008325E2" w:rsidP="00FB55D1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605CA38" wp14:editId="272B70AE">
                  <wp:extent cx="1583690" cy="118237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p-sulfoxido-clor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8325E2" w:rsidRPr="00A76052" w:rsidRDefault="008325E2" w:rsidP="00FB55D1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88E8EBD" wp14:editId="2006C619">
                  <wp:extent cx="1530985" cy="1204277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p-sulfona-clor.t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728" cy="121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5E2" w:rsidRPr="00A76052" w:rsidTr="00FB55D1">
        <w:trPr>
          <w:trHeight w:val="654"/>
        </w:trPr>
        <w:tc>
          <w:tcPr>
            <w:tcW w:w="2975" w:type="dxa"/>
          </w:tcPr>
          <w:p w:rsidR="008325E2" w:rsidRPr="004021DE" w:rsidRDefault="008325E2" w:rsidP="008325E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</w:pPr>
            <w:r w:rsidRPr="004021DE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t>DTB</w:t>
            </w:r>
          </w:p>
        </w:tc>
        <w:tc>
          <w:tcPr>
            <w:tcW w:w="2975" w:type="dxa"/>
          </w:tcPr>
          <w:p w:rsidR="008325E2" w:rsidRPr="004021DE" w:rsidRDefault="008325E2" w:rsidP="008325E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</w:pPr>
            <w:r w:rsidRPr="004021DE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t>DTBS</w:t>
            </w:r>
          </w:p>
        </w:tc>
        <w:tc>
          <w:tcPr>
            <w:tcW w:w="2976" w:type="dxa"/>
          </w:tcPr>
          <w:p w:rsidR="008325E2" w:rsidRPr="004021DE" w:rsidRDefault="008325E2" w:rsidP="008325E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</w:pPr>
            <w:r w:rsidRPr="004021DE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t>DTBSu</w:t>
            </w:r>
          </w:p>
        </w:tc>
      </w:tr>
      <w:tr w:rsidR="008325E2" w:rsidRPr="00A76052" w:rsidTr="00FB55D1">
        <w:trPr>
          <w:trHeight w:val="692"/>
        </w:trPr>
        <w:tc>
          <w:tcPr>
            <w:tcW w:w="2975" w:type="dxa"/>
          </w:tcPr>
          <w:p w:rsidR="008325E2" w:rsidRPr="00A76052" w:rsidRDefault="008325E2" w:rsidP="00FB55D1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EEA73F7" wp14:editId="436F9E20">
                  <wp:extent cx="1372264" cy="106918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B-mep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09" cy="108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8325E2" w:rsidRPr="00A76052" w:rsidRDefault="008325E2" w:rsidP="00FB55D1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C1211D6" wp14:editId="4C42FAE9">
                  <wp:extent cx="1583690" cy="1117600"/>
                  <wp:effectExtent l="0" t="0" r="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p-sulfoxido-sinclor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8325E2" w:rsidRPr="00A76052" w:rsidRDefault="008325E2" w:rsidP="00FB55D1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0A09104" wp14:editId="6AE80E28">
                  <wp:extent cx="1511092" cy="110998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p-sulfona-sinclor.t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604" cy="111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5E2" w:rsidRPr="00501B99" w:rsidRDefault="008325E2" w:rsidP="00832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Figure 1S. </w:t>
      </w:r>
      <w:r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Mapping of the </w:t>
      </w:r>
      <w:r w:rsidRPr="004021DE">
        <w:rPr>
          <w:rFonts w:ascii="Times New Roman" w:hAnsi="Times New Roman" w:cs="Times New Roman"/>
          <w:sz w:val="24"/>
          <w:szCs w:val="24"/>
        </w:rPr>
        <w:t>electrostatic potentials</w:t>
      </w:r>
      <w:r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evaluated at the </w:t>
      </w:r>
      <w:r w:rsidRPr="004021DE">
        <w:rPr>
          <w:rFonts w:ascii="Times New Roman" w:hAnsi="Times New Roman" w:cs="Times New Roman"/>
          <w:sz w:val="24"/>
          <w:szCs w:val="24"/>
        </w:rPr>
        <w:t>wB97XD/6-</w:t>
      </w:r>
      <w:r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311++G(2d,2p) level of theory</w:t>
      </w:r>
      <w:r w:rsidR="006B1C5D" w:rsidRPr="006B1C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employing the PCM solvation model</w:t>
      </w:r>
      <w:r w:rsidR="006B1C5D" w:rsidRPr="006B1C5D">
        <w:rPr>
          <w:rFonts w:ascii="Times New Roman" w:hAnsi="Times New Roman"/>
          <w:sz w:val="24"/>
          <w:szCs w:val="24"/>
        </w:rPr>
        <w:t>,</w:t>
      </w:r>
      <w:r w:rsidR="006B1C5D" w:rsidRPr="006B1C5D">
        <w:rPr>
          <w:rFonts w:ascii="Times New Roman" w:hAnsi="Times New Roman"/>
          <w:sz w:val="24"/>
          <w:szCs w:val="24"/>
        </w:rPr>
        <w:t xml:space="preserve"> </w:t>
      </w:r>
      <w:r w:rsidRPr="006B1C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onto</w:t>
      </w:r>
      <w:r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 density </w:t>
      </w:r>
      <w:proofErr w:type="spellStart"/>
      <w:r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isosurface</w:t>
      </w:r>
      <w:proofErr w:type="spellEnd"/>
      <w:r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(value =0.002 e/a.u.</w:t>
      </w:r>
      <w:r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 for a) TB, b) TBS, c)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TBSu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d) DTB, e) DTBS and f)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DTBSu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25E2" w:rsidRDefault="008325E2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16842" w:rsidRDefault="00916842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new reference was added</w:t>
      </w:r>
    </w:p>
    <w:p w:rsidR="00916842" w:rsidRDefault="00916842" w:rsidP="00916842">
      <w:pPr>
        <w:spacing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16842" w:rsidRPr="00B207C5" w:rsidRDefault="00916842" w:rsidP="0091684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684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 xml:space="preserve">47. L. </w:t>
      </w:r>
      <w:proofErr w:type="spellStart"/>
      <w:r w:rsidRPr="0091684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>Senthilkumar</w:t>
      </w:r>
      <w:proofErr w:type="spellEnd"/>
      <w:r w:rsidRPr="0091684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 xml:space="preserve">, P. </w:t>
      </w:r>
      <w:proofErr w:type="spellStart"/>
      <w:r w:rsidRPr="0091684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>Umadevi</w:t>
      </w:r>
      <w:proofErr w:type="spellEnd"/>
      <w:r w:rsidRPr="0091684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 xml:space="preserve">, K.N. </w:t>
      </w:r>
      <w:proofErr w:type="spellStart"/>
      <w:r w:rsidRPr="0091684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>Nithya</w:t>
      </w:r>
      <w:proofErr w:type="spellEnd"/>
      <w:r w:rsidRPr="0091684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 xml:space="preserve">, P. </w:t>
      </w:r>
      <w:proofErr w:type="spellStart"/>
      <w:r w:rsidRPr="0091684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>Kolandaivel</w:t>
      </w:r>
      <w:proofErr w:type="spellEnd"/>
      <w:r w:rsidRPr="00916842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  <w:lang w:val="es-MX"/>
        </w:rPr>
        <w:t xml:space="preserve">, </w:t>
      </w:r>
      <w:r w:rsidRPr="00916842">
        <w:rPr>
          <w:rFonts w:ascii="Times New Roman" w:hAnsi="Times New Roman"/>
          <w:i/>
          <w:color w:val="000000"/>
          <w:sz w:val="24"/>
          <w:szCs w:val="24"/>
          <w:highlight w:val="yellow"/>
          <w:shd w:val="clear" w:color="auto" w:fill="FFFFFF"/>
          <w:lang w:val="es-MX"/>
        </w:rPr>
        <w:t xml:space="preserve">J. Mol. </w:t>
      </w:r>
      <w:r w:rsidRPr="00257E0B">
        <w:rPr>
          <w:rFonts w:ascii="Times New Roman" w:hAnsi="Times New Roman"/>
          <w:i/>
          <w:color w:val="000000"/>
          <w:sz w:val="24"/>
          <w:szCs w:val="24"/>
          <w:highlight w:val="yellow"/>
          <w:shd w:val="clear" w:color="auto" w:fill="FFFFFF"/>
        </w:rPr>
        <w:t>Model.</w:t>
      </w: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D55FE5">
        <w:rPr>
          <w:rFonts w:ascii="Times New Roman" w:hAnsi="Times New Roman"/>
          <w:b/>
          <w:color w:val="000000"/>
          <w:sz w:val="24"/>
          <w:szCs w:val="24"/>
          <w:highlight w:val="yellow"/>
          <w:shd w:val="clear" w:color="auto" w:fill="FFFFFF"/>
        </w:rPr>
        <w:t>19(8)</w:t>
      </w:r>
      <w:r w:rsidRPr="00125DFA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(2013) 3411.</w:t>
      </w:r>
    </w:p>
    <w:p w:rsidR="00916842" w:rsidRDefault="00916842" w:rsidP="00916842">
      <w:pPr>
        <w:spacing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16842" w:rsidRDefault="00916842" w:rsidP="00916842">
      <w:pPr>
        <w:spacing w:line="24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B89" w:rsidRPr="008325E2" w:rsidRDefault="00540B89" w:rsidP="00540B89"/>
    <w:p w:rsidR="00BF577B" w:rsidRDefault="00BF577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BF577B" w:rsidRPr="00EE2F35" w:rsidRDefault="00367E53" w:rsidP="0091684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7.For</w:t>
      </w:r>
      <w:proofErr w:type="gram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fukui</w:t>
      </w:r>
      <w:proofErr w:type="spell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functions, chemical hardness authors may cite</w:t>
      </w:r>
      <w:r w:rsidR="00362EFE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1. Study of effective hardness and condensed Fukui functions using AIM, ab</w:t>
      </w:r>
      <w:r w:rsidR="000E2636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initio, and DFT methods</w:t>
      </w:r>
      <w:r w:rsidR="00362EFE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Molecular physics, 2005</w:t>
      </w:r>
      <w:r w:rsidR="006866EA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. </w:t>
      </w: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2. Post </w:t>
      </w:r>
      <w:proofErr w:type="spell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Hartree</w:t>
      </w:r>
      <w:proofErr w:type="spell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–</w:t>
      </w:r>
      <w:proofErr w:type="spell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Fock</w:t>
      </w:r>
      <w:proofErr w:type="spell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and density functional theory studies on </w:t>
      </w:r>
      <w:proofErr w:type="spell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tautomerism</w:t>
      </w:r>
      <w:proofErr w:type="spellEnd"/>
      <w:r w:rsidR="000E2636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of 6-thioxanthine in gas phase and in solution</w:t>
      </w:r>
      <w:r w:rsidR="000E2636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Journal of Molecular Structure: THEOCHEM, 2003</w:t>
      </w:r>
      <w:r w:rsidR="00EE2F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F577B" w:rsidRPr="00156B58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Answer: </w:t>
      </w:r>
    </w:p>
    <w:p w:rsidR="006866EA" w:rsidRDefault="00BF577B" w:rsidP="00916842">
      <w:pPr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have revised th</w:t>
      </w:r>
      <w:r w:rsidR="00686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references provided by the reviewer</w:t>
      </w:r>
      <w:r w:rsidR="00916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</w:t>
      </w:r>
      <w:r w:rsidR="00686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however the references indicated in these paper</w:t>
      </w:r>
      <w:r w:rsidR="008325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686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16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the global and local reac</w:t>
      </w:r>
      <w:bookmarkStart w:id="0" w:name="_GoBack"/>
      <w:bookmarkEnd w:id="0"/>
      <w:r w:rsidR="00916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tivity descriptors are coincident with the r</w:t>
      </w:r>
      <w:r w:rsidR="00686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eported in the </w:t>
      </w:r>
      <w:r w:rsidR="006B1C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original </w:t>
      </w:r>
      <w:r w:rsidR="00686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manuscript. Therefore</w:t>
      </w:r>
      <w:r w:rsidR="009168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86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 have kept the original references where the Fukui Functions and hardness equations appeared for </w:t>
      </w:r>
      <w:r w:rsidR="008325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686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first time.</w:t>
      </w:r>
    </w:p>
    <w:p w:rsidR="00BF577B" w:rsidRDefault="00BF577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BF577B" w:rsidRDefault="00BF577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BF577B" w:rsidRDefault="00BF577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BF577B" w:rsidRPr="00EE2F35" w:rsidRDefault="00BF577B" w:rsidP="00BF577B">
      <w:pPr>
        <w:jc w:val="center"/>
        <w:rPr>
          <w:rFonts w:ascii="Times New Roman" w:hAnsi="Times New Roman" w:cs="Times New Roman"/>
          <w:color w:val="222222"/>
          <w:sz w:val="36"/>
          <w:szCs w:val="24"/>
          <w:shd w:val="clear" w:color="auto" w:fill="FFFFFF"/>
        </w:rPr>
      </w:pPr>
      <w:r w:rsidRPr="00EE2F35">
        <w:rPr>
          <w:rFonts w:ascii="Times New Roman" w:hAnsi="Times New Roman" w:cs="Times New Roman"/>
          <w:color w:val="222222"/>
          <w:sz w:val="36"/>
          <w:szCs w:val="24"/>
          <w:shd w:val="clear" w:color="auto" w:fill="FFFFFF"/>
        </w:rPr>
        <w:t>Reviewer 2</w:t>
      </w:r>
    </w:p>
    <w:p w:rsidR="00BF577B" w:rsidRDefault="00BF577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BF577B" w:rsidRDefault="00BF577B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621F50" w:rsidRPr="00916842" w:rsidRDefault="00621F50" w:rsidP="00EE2F35">
      <w:pPr>
        <w:pStyle w:val="Prrafodelist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916842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Which is the reason for use theoretical model wB97XD/6-311++</w:t>
      </w:r>
      <w:proofErr w:type="gramStart"/>
      <w:r w:rsidRPr="00916842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G(</w:t>
      </w:r>
      <w:proofErr w:type="gramEnd"/>
      <w:r w:rsidRPr="00916842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2d,2p) level of theory? If author compared calculations performed on wB97XD/6-311++</w:t>
      </w:r>
      <w:proofErr w:type="gramStart"/>
      <w:r w:rsidRPr="00916842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G(</w:t>
      </w:r>
      <w:proofErr w:type="gramEnd"/>
      <w:r w:rsidRPr="00916842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2d,2p) level of theory with some another level of theory so these data must be add in </w:t>
      </w:r>
      <w:proofErr w:type="spellStart"/>
      <w:r w:rsidRPr="00916842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manuscripth</w:t>
      </w:r>
      <w:proofErr w:type="spellEnd"/>
      <w:r w:rsidRPr="00916842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for </w:t>
      </w:r>
      <w:proofErr w:type="spellStart"/>
      <w:r w:rsidRPr="00916842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comparation</w:t>
      </w:r>
      <w:proofErr w:type="spellEnd"/>
      <w:r w:rsidRPr="00916842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.</w:t>
      </w:r>
    </w:p>
    <w:p w:rsidR="00621F50" w:rsidRDefault="00621F5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577B" w:rsidRPr="00156B58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Answer:</w:t>
      </w:r>
    </w:p>
    <w:p w:rsidR="00BF577B" w:rsidRPr="00156B58" w:rsidRDefault="00BF577B" w:rsidP="00807E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apologizes by this mistake, in all cases the level of theory is 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specified in the methodology section i.e. </w:t>
      </w:r>
      <w:r w:rsidRPr="00156B58">
        <w:rPr>
          <w:rFonts w:ascii="Times New Roman" w:hAnsi="Times New Roman" w:cs="Times New Roman"/>
          <w:sz w:val="24"/>
          <w:szCs w:val="24"/>
        </w:rPr>
        <w:t>wB97XD/6-311++</w:t>
      </w:r>
      <w:proofErr w:type="gramStart"/>
      <w:r w:rsidRPr="00156B58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Pr="00156B58">
        <w:rPr>
          <w:rFonts w:ascii="Times New Roman" w:hAnsi="Times New Roman" w:cs="Times New Roman"/>
          <w:sz w:val="24"/>
          <w:szCs w:val="24"/>
        </w:rPr>
        <w:t>2d,2p). We have corrected this mistake.</w:t>
      </w:r>
    </w:p>
    <w:p w:rsidR="00BF577B" w:rsidRDefault="00BF577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577B" w:rsidRPr="00156B58" w:rsidRDefault="00BF577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1F50" w:rsidRPr="00EE2F35" w:rsidRDefault="00621F50">
      <w:pPr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2. N</w:t>
      </w:r>
      <w:proofErr w:type="gram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,N</w:t>
      </w:r>
      <w:proofErr w:type="gram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- in the IUPAC name must be in </w:t>
      </w:r>
      <w:proofErr w:type="spell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italic.Check</w:t>
      </w:r>
      <w:proofErr w:type="spell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out this.</w:t>
      </w:r>
    </w:p>
    <w:p w:rsidR="00BF577B" w:rsidRPr="00156B58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Answer:</w:t>
      </w:r>
    </w:p>
    <w:p w:rsidR="00BF577B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agree, we have done the correction.</w:t>
      </w:r>
    </w:p>
    <w:p w:rsidR="00BF577B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21F50" w:rsidRPr="00EE2F35" w:rsidRDefault="00621F50" w:rsidP="00EE2F35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</w:pP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3. And final,</w:t>
      </w:r>
      <w:r w:rsidR="00AF4A25"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for readers are necessary and very important that author attach </w:t>
      </w:r>
      <w:proofErr w:type="spellStart"/>
      <w:proofErr w:type="gram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cartesian</w:t>
      </w:r>
      <w:proofErr w:type="spellEnd"/>
      <w:proofErr w:type="gram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 xml:space="preserve"> coordinates for all optimized structures in Electronic supporting </w:t>
      </w:r>
      <w:proofErr w:type="spellStart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materijal</w:t>
      </w:r>
      <w:proofErr w:type="spellEnd"/>
      <w:r w:rsidRPr="00EE2F35">
        <w:rPr>
          <w:rFonts w:ascii="Times New Roman" w:hAnsi="Times New Roman" w:cs="Times New Roman"/>
          <w:i/>
          <w:color w:val="222222"/>
          <w:sz w:val="24"/>
          <w:szCs w:val="24"/>
          <w:u w:val="single"/>
          <w:shd w:val="clear" w:color="auto" w:fill="FFFFFF"/>
        </w:rPr>
        <w:t>.</w:t>
      </w:r>
    </w:p>
    <w:p w:rsidR="00BF577B" w:rsidRDefault="00BF577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577B" w:rsidRPr="00156B58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6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Answer:</w:t>
      </w:r>
    </w:p>
    <w:p w:rsidR="00BF577B" w:rsidRDefault="00BF577B" w:rsidP="00BF577B">
      <w:pP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agree, we have added these </w:t>
      </w:r>
      <w:r w:rsidR="004C44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 as supplementary material, see Tables IS-VIS.</w:t>
      </w:r>
    </w:p>
    <w:sectPr w:rsidR="00BF57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86" w:rsidRDefault="009A0B86" w:rsidP="009A0B86">
      <w:pPr>
        <w:spacing w:after="0" w:line="240" w:lineRule="auto"/>
      </w:pPr>
      <w:r>
        <w:separator/>
      </w:r>
    </w:p>
  </w:endnote>
  <w:endnote w:type="continuationSeparator" w:id="0">
    <w:p w:rsidR="009A0B86" w:rsidRDefault="009A0B86" w:rsidP="009A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86" w:rsidRDefault="009A0B86" w:rsidP="009A0B86">
      <w:pPr>
        <w:spacing w:after="0" w:line="240" w:lineRule="auto"/>
      </w:pPr>
      <w:r>
        <w:separator/>
      </w:r>
    </w:p>
  </w:footnote>
  <w:footnote w:type="continuationSeparator" w:id="0">
    <w:p w:rsidR="009A0B86" w:rsidRDefault="009A0B86" w:rsidP="009A0B86">
      <w:pPr>
        <w:spacing w:after="0" w:line="240" w:lineRule="auto"/>
      </w:pPr>
      <w:r>
        <w:continuationSeparator/>
      </w:r>
    </w:p>
  </w:footnote>
  <w:footnote w:id="1">
    <w:p w:rsidR="009A0B86" w:rsidRPr="008418A5" w:rsidRDefault="009A0B86" w:rsidP="009A0B86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/>
        </w:rPr>
        <w:t>hhuizar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/>
        </w:rPr>
        <w:t>uaeh.edu.mx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C7D32"/>
    <w:multiLevelType w:val="hybridMultilevel"/>
    <w:tmpl w:val="D110D0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5303"/>
    <w:multiLevelType w:val="hybridMultilevel"/>
    <w:tmpl w:val="F2DC8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0708C"/>
    <w:multiLevelType w:val="hybridMultilevel"/>
    <w:tmpl w:val="F0582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53"/>
    <w:rsid w:val="000E2636"/>
    <w:rsid w:val="001313BD"/>
    <w:rsid w:val="00156B58"/>
    <w:rsid w:val="002D754D"/>
    <w:rsid w:val="002F4FB9"/>
    <w:rsid w:val="00335D30"/>
    <w:rsid w:val="00362EFE"/>
    <w:rsid w:val="00367E53"/>
    <w:rsid w:val="004C44A0"/>
    <w:rsid w:val="004D66D6"/>
    <w:rsid w:val="004E34A1"/>
    <w:rsid w:val="00540B89"/>
    <w:rsid w:val="00621F50"/>
    <w:rsid w:val="006756C8"/>
    <w:rsid w:val="00684F38"/>
    <w:rsid w:val="006866EA"/>
    <w:rsid w:val="006B1C5D"/>
    <w:rsid w:val="006F07C3"/>
    <w:rsid w:val="007122E0"/>
    <w:rsid w:val="007426CB"/>
    <w:rsid w:val="00807E60"/>
    <w:rsid w:val="008325E2"/>
    <w:rsid w:val="00916842"/>
    <w:rsid w:val="00924151"/>
    <w:rsid w:val="00926FF7"/>
    <w:rsid w:val="00980A2A"/>
    <w:rsid w:val="009A0B86"/>
    <w:rsid w:val="009B3DC9"/>
    <w:rsid w:val="00AD1C13"/>
    <w:rsid w:val="00AF4A25"/>
    <w:rsid w:val="00BF577B"/>
    <w:rsid w:val="00E96A43"/>
    <w:rsid w:val="00E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181A243-0FB8-48F8-931D-65B7940C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E96A43"/>
    <w:rPr>
      <w:i/>
      <w:iCs/>
    </w:rPr>
  </w:style>
  <w:style w:type="table" w:styleId="Tablanormal2">
    <w:name w:val="Plain Table 2"/>
    <w:basedOn w:val="Tablanormal"/>
    <w:uiPriority w:val="42"/>
    <w:rsid w:val="00540B8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NormalWeb">
    <w:name w:val="Normal (Web)"/>
    <w:basedOn w:val="Normal"/>
    <w:uiPriority w:val="99"/>
    <w:unhideWhenUsed/>
    <w:rsid w:val="0054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540B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8.tif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tiff"/><Relationship Id="rId2" Type="http://schemas.openxmlformats.org/officeDocument/2006/relationships/styles" Target="styles.xml"/><Relationship Id="rId16" Type="http://schemas.openxmlformats.org/officeDocument/2006/relationships/image" Target="media/image6.tiff"/><Relationship Id="rId20" Type="http://schemas.openxmlformats.org/officeDocument/2006/relationships/image" Target="media/image10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tiff"/><Relationship Id="rId10" Type="http://schemas.openxmlformats.org/officeDocument/2006/relationships/oleObject" Target="embeddings/oleObject2.bin"/><Relationship Id="rId19" Type="http://schemas.openxmlformats.org/officeDocument/2006/relationships/image" Target="media/image9.tif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Mendoza</dc:creator>
  <cp:keywords/>
  <dc:description/>
  <cp:lastModifiedBy>Luis</cp:lastModifiedBy>
  <cp:revision>46</cp:revision>
  <dcterms:created xsi:type="dcterms:W3CDTF">2017-12-17T23:55:00Z</dcterms:created>
  <dcterms:modified xsi:type="dcterms:W3CDTF">2018-01-12T23:36:00Z</dcterms:modified>
</cp:coreProperties>
</file>