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8C" w:rsidRPr="002413B3" w:rsidRDefault="000C408C" w:rsidP="000C408C">
      <w:pPr>
        <w:shd w:val="clear" w:color="auto" w:fill="FFFFFF"/>
        <w:spacing w:after="0" w:line="360" w:lineRule="auto"/>
        <w:jc w:val="center"/>
        <w:rPr>
          <w:rFonts w:ascii="Times New Roman" w:hAnsi="Times New Roman"/>
          <w:sz w:val="24"/>
          <w:szCs w:val="24"/>
          <w:lang w:val="en-GB"/>
        </w:rPr>
      </w:pPr>
      <w:r w:rsidRPr="002413B3">
        <w:rPr>
          <w:rFonts w:ascii="Times New Roman" w:hAnsi="Times New Roman"/>
          <w:sz w:val="24"/>
          <w:szCs w:val="24"/>
          <w:lang w:val="en-GB"/>
        </w:rPr>
        <w:t>SUPPLEMENTARY MATERIAL</w:t>
      </w:r>
      <w:r>
        <w:rPr>
          <w:rFonts w:ascii="Times New Roman" w:hAnsi="Times New Roman"/>
          <w:sz w:val="24"/>
          <w:szCs w:val="24"/>
          <w:lang w:val="en-GB"/>
        </w:rPr>
        <w:t xml:space="preserve"> TO</w:t>
      </w:r>
    </w:p>
    <w:p w:rsidR="000C408C" w:rsidRPr="00BB71E6" w:rsidRDefault="000C408C" w:rsidP="000C408C">
      <w:pPr>
        <w:spacing w:after="0" w:line="360" w:lineRule="auto"/>
        <w:jc w:val="center"/>
        <w:rPr>
          <w:rFonts w:ascii="Times New Roman" w:hAnsi="Times New Roman"/>
          <w:b/>
          <w:sz w:val="24"/>
          <w:szCs w:val="24"/>
          <w:lang w:val="en-GB"/>
        </w:rPr>
      </w:pPr>
      <w:r>
        <w:rPr>
          <w:rFonts w:ascii="Times New Roman" w:hAnsi="Times New Roman"/>
          <w:b/>
          <w:sz w:val="24"/>
          <w:szCs w:val="24"/>
          <w:lang w:val="en-GB"/>
        </w:rPr>
        <w:t xml:space="preserve">Contribution to the knowledge </w:t>
      </w:r>
      <w:r w:rsidRPr="004A1F52">
        <w:rPr>
          <w:rStyle w:val="Emphasis"/>
          <w:rFonts w:ascii="Times New Roman" w:hAnsi="Times New Roman"/>
          <w:b/>
          <w:i w:val="0"/>
          <w:color w:val="000000"/>
          <w:sz w:val="24"/>
          <w:szCs w:val="24"/>
          <w:bdr w:val="none" w:sz="0" w:space="0" w:color="auto" w:frame="1"/>
          <w:shd w:val="clear" w:color="auto" w:fill="FFFFFF"/>
        </w:rPr>
        <w:t>of the chemical composition</w:t>
      </w:r>
      <w:r>
        <w:rPr>
          <w:rFonts w:ascii="Times New Roman" w:hAnsi="Times New Roman"/>
          <w:b/>
          <w:sz w:val="24"/>
          <w:szCs w:val="24"/>
          <w:lang w:val="en-GB"/>
        </w:rPr>
        <w:t xml:space="preserve">, biological activities </w:t>
      </w:r>
      <w:r w:rsidRPr="005B61F0">
        <w:rPr>
          <w:rFonts w:ascii="Times New Roman" w:hAnsi="Times New Roman"/>
          <w:b/>
          <w:sz w:val="24"/>
          <w:szCs w:val="24"/>
        </w:rPr>
        <w:t>and</w:t>
      </w:r>
      <w:r w:rsidRPr="005B61F0">
        <w:rPr>
          <w:rStyle w:val="Emphasis"/>
          <w:rFonts w:ascii="Times New Roman" w:hAnsi="Times New Roman"/>
          <w:b/>
          <w:color w:val="000000"/>
          <w:sz w:val="24"/>
          <w:szCs w:val="24"/>
          <w:bdr w:val="none" w:sz="0" w:space="0" w:color="auto" w:frame="1"/>
          <w:shd w:val="clear" w:color="auto" w:fill="FFFFFF"/>
        </w:rPr>
        <w:t xml:space="preserve"> </w:t>
      </w:r>
      <w:r w:rsidRPr="005B61F0">
        <w:rPr>
          <w:rFonts w:ascii="Times New Roman" w:hAnsi="Times New Roman"/>
          <w:b/>
          <w:sz w:val="24"/>
          <w:szCs w:val="24"/>
        </w:rPr>
        <w:t xml:space="preserve">activity concentration of </w:t>
      </w:r>
      <w:r w:rsidRPr="005B61F0">
        <w:rPr>
          <w:rFonts w:ascii="Times New Roman" w:hAnsi="Times New Roman"/>
          <w:b/>
          <w:sz w:val="24"/>
          <w:szCs w:val="24"/>
          <w:vertAlign w:val="superscript"/>
        </w:rPr>
        <w:t>40</w:t>
      </w:r>
      <w:r w:rsidRPr="005B61F0">
        <w:rPr>
          <w:rFonts w:ascii="Times New Roman" w:hAnsi="Times New Roman"/>
          <w:b/>
          <w:sz w:val="24"/>
          <w:szCs w:val="24"/>
        </w:rPr>
        <w:t>K,</w:t>
      </w:r>
      <w:r w:rsidRPr="005B61F0">
        <w:rPr>
          <w:rFonts w:ascii="Times New Roman" w:hAnsi="Times New Roman"/>
          <w:b/>
          <w:sz w:val="24"/>
          <w:szCs w:val="24"/>
          <w:vertAlign w:val="superscript"/>
        </w:rPr>
        <w:t xml:space="preserve"> 137</w:t>
      </w:r>
      <w:r w:rsidRPr="005B61F0">
        <w:rPr>
          <w:rFonts w:ascii="Times New Roman" w:hAnsi="Times New Roman"/>
          <w:b/>
          <w:sz w:val="24"/>
          <w:szCs w:val="24"/>
        </w:rPr>
        <w:t xml:space="preserve">Cs, </w:t>
      </w:r>
      <w:r w:rsidRPr="005B61F0">
        <w:rPr>
          <w:rFonts w:ascii="Times New Roman" w:hAnsi="Times New Roman"/>
          <w:b/>
          <w:sz w:val="24"/>
          <w:szCs w:val="24"/>
          <w:vertAlign w:val="superscript"/>
        </w:rPr>
        <w:t>226</w:t>
      </w:r>
      <w:r w:rsidRPr="005B61F0">
        <w:rPr>
          <w:rFonts w:ascii="Times New Roman" w:hAnsi="Times New Roman"/>
          <w:b/>
          <w:sz w:val="24"/>
          <w:szCs w:val="24"/>
        </w:rPr>
        <w:t xml:space="preserve">Ra and </w:t>
      </w:r>
      <w:r w:rsidRPr="005B61F0">
        <w:rPr>
          <w:rFonts w:ascii="Times New Roman" w:hAnsi="Times New Roman"/>
          <w:b/>
          <w:sz w:val="24"/>
          <w:szCs w:val="24"/>
          <w:vertAlign w:val="superscript"/>
        </w:rPr>
        <w:t>232</w:t>
      </w:r>
      <w:r w:rsidRPr="005B61F0">
        <w:rPr>
          <w:rFonts w:ascii="Times New Roman" w:hAnsi="Times New Roman"/>
          <w:b/>
          <w:sz w:val="24"/>
          <w:szCs w:val="24"/>
        </w:rPr>
        <w:t xml:space="preserve">Th </w:t>
      </w:r>
      <w:r w:rsidRPr="005B61F0">
        <w:rPr>
          <w:rStyle w:val="Emphasis"/>
          <w:rFonts w:ascii="Times New Roman" w:hAnsi="Times New Roman"/>
          <w:b/>
          <w:color w:val="000000"/>
          <w:sz w:val="24"/>
          <w:szCs w:val="24"/>
          <w:bdr w:val="none" w:sz="0" w:space="0" w:color="auto" w:frame="1"/>
          <w:shd w:val="clear" w:color="auto" w:fill="FFFFFF"/>
        </w:rPr>
        <w:t>of</w:t>
      </w:r>
      <w:r w:rsidRPr="005B61F0">
        <w:rPr>
          <w:rFonts w:ascii="Times New Roman" w:hAnsi="Times New Roman"/>
          <w:b/>
          <w:sz w:val="24"/>
          <w:szCs w:val="24"/>
          <w:lang w:val="en-GB"/>
        </w:rPr>
        <w:t xml:space="preserve"> </w:t>
      </w:r>
      <w:r>
        <w:rPr>
          <w:rFonts w:ascii="Times New Roman" w:hAnsi="Times New Roman"/>
          <w:b/>
          <w:sz w:val="24"/>
          <w:szCs w:val="24"/>
          <w:lang w:val="en-GB"/>
        </w:rPr>
        <w:t xml:space="preserve">the lichen </w:t>
      </w:r>
      <w:r w:rsidRPr="005B61F0">
        <w:rPr>
          <w:rFonts w:ascii="Times New Roman" w:hAnsi="Times New Roman"/>
          <w:b/>
          <w:i/>
          <w:sz w:val="24"/>
          <w:szCs w:val="24"/>
          <w:lang w:val="en-GB"/>
        </w:rPr>
        <w:t>Evernia prunastri</w:t>
      </w:r>
      <w:r>
        <w:rPr>
          <w:rFonts w:ascii="Times New Roman" w:hAnsi="Times New Roman"/>
          <w:b/>
          <w:sz w:val="24"/>
          <w:szCs w:val="24"/>
          <w:lang w:val="en-GB"/>
        </w:rPr>
        <w:t xml:space="preserve"> </w:t>
      </w:r>
    </w:p>
    <w:p w:rsidR="000C408C" w:rsidRPr="00DE06A0" w:rsidRDefault="000C408C" w:rsidP="000C408C">
      <w:pPr>
        <w:pStyle w:val="Authornames"/>
        <w:spacing w:before="0"/>
        <w:jc w:val="center"/>
        <w:rPr>
          <w:sz w:val="24"/>
          <w:vertAlign w:val="superscript"/>
        </w:rPr>
      </w:pPr>
      <w:r w:rsidRPr="00DE06A0">
        <w:rPr>
          <w:sz w:val="24"/>
          <w:lang w:val="tr-TR"/>
        </w:rPr>
        <w:t>G</w:t>
      </w:r>
      <w:r>
        <w:rPr>
          <w:sz w:val="24"/>
          <w:lang w:val="tr-TR"/>
        </w:rPr>
        <w:t>ORDANA</w:t>
      </w:r>
      <w:r w:rsidRPr="00DE06A0">
        <w:rPr>
          <w:sz w:val="24"/>
        </w:rPr>
        <w:t xml:space="preserve"> </w:t>
      </w:r>
      <w:r w:rsidRPr="00DE06A0">
        <w:rPr>
          <w:sz w:val="24"/>
          <w:lang w:val="tr-TR"/>
        </w:rPr>
        <w:t>S</w:t>
      </w:r>
      <w:r>
        <w:rPr>
          <w:sz w:val="24"/>
          <w:lang w:val="tr-TR"/>
        </w:rPr>
        <w:t>TOJANOVIC</w:t>
      </w:r>
      <w:r w:rsidRPr="00DE06A0">
        <w:rPr>
          <w:sz w:val="24"/>
          <w:vertAlign w:val="superscript"/>
        </w:rPr>
        <w:t>1*</w:t>
      </w:r>
      <w:r w:rsidRPr="00DE06A0">
        <w:rPr>
          <w:sz w:val="24"/>
        </w:rPr>
        <w:t>, I</w:t>
      </w:r>
      <w:r>
        <w:rPr>
          <w:sz w:val="24"/>
        </w:rPr>
        <w:t>VANA</w:t>
      </w:r>
      <w:r w:rsidRPr="00DE06A0">
        <w:rPr>
          <w:sz w:val="24"/>
        </w:rPr>
        <w:t xml:space="preserve"> Z</w:t>
      </w:r>
      <w:r>
        <w:rPr>
          <w:sz w:val="24"/>
        </w:rPr>
        <w:t>LATANOVIC</w:t>
      </w:r>
      <w:r w:rsidRPr="00DE06A0">
        <w:rPr>
          <w:sz w:val="24"/>
          <w:vertAlign w:val="superscript"/>
        </w:rPr>
        <w:t>1</w:t>
      </w:r>
      <w:r w:rsidRPr="00DE06A0">
        <w:rPr>
          <w:sz w:val="24"/>
        </w:rPr>
        <w:t>, N</w:t>
      </w:r>
      <w:r>
        <w:rPr>
          <w:sz w:val="24"/>
        </w:rPr>
        <w:t>ATAŠA</w:t>
      </w:r>
      <w:r w:rsidRPr="00DE06A0">
        <w:rPr>
          <w:sz w:val="24"/>
        </w:rPr>
        <w:t xml:space="preserve"> L</w:t>
      </w:r>
      <w:r>
        <w:rPr>
          <w:sz w:val="24"/>
        </w:rPr>
        <w:t>AZAREVIĆ</w:t>
      </w:r>
      <w:r w:rsidRPr="00DE06A0">
        <w:rPr>
          <w:sz w:val="24"/>
          <w:vertAlign w:val="superscript"/>
        </w:rPr>
        <w:t>2</w:t>
      </w:r>
      <w:r>
        <w:rPr>
          <w:sz w:val="24"/>
        </w:rPr>
        <w:t xml:space="preserve">, VIOLETA </w:t>
      </w:r>
      <w:r w:rsidRPr="00DE06A0">
        <w:rPr>
          <w:sz w:val="24"/>
        </w:rPr>
        <w:t>M</w:t>
      </w:r>
      <w:r>
        <w:rPr>
          <w:sz w:val="24"/>
        </w:rPr>
        <w:t>ITIĆ</w:t>
      </w:r>
      <w:r w:rsidRPr="00DE06A0">
        <w:rPr>
          <w:sz w:val="24"/>
          <w:vertAlign w:val="superscript"/>
        </w:rPr>
        <w:t>1</w:t>
      </w:r>
      <w:r w:rsidRPr="00DE06A0">
        <w:rPr>
          <w:sz w:val="24"/>
        </w:rPr>
        <w:t>, A</w:t>
      </w:r>
      <w:r>
        <w:rPr>
          <w:sz w:val="24"/>
        </w:rPr>
        <w:t>LEKSANDRA</w:t>
      </w:r>
      <w:r w:rsidRPr="00DE06A0">
        <w:rPr>
          <w:sz w:val="24"/>
        </w:rPr>
        <w:t xml:space="preserve"> Đ</w:t>
      </w:r>
      <w:r>
        <w:rPr>
          <w:sz w:val="24"/>
        </w:rPr>
        <w:t>ORĐEVIĆ</w:t>
      </w:r>
      <w:r w:rsidRPr="00DE06A0">
        <w:rPr>
          <w:sz w:val="24"/>
          <w:vertAlign w:val="superscript"/>
        </w:rPr>
        <w:t>1</w:t>
      </w:r>
      <w:r w:rsidRPr="00DE06A0">
        <w:rPr>
          <w:sz w:val="24"/>
        </w:rPr>
        <w:t>, M</w:t>
      </w:r>
      <w:r>
        <w:rPr>
          <w:sz w:val="24"/>
        </w:rPr>
        <w:t>IROSLAVA</w:t>
      </w:r>
      <w:r w:rsidRPr="00DE06A0">
        <w:rPr>
          <w:sz w:val="24"/>
        </w:rPr>
        <w:t xml:space="preserve"> S</w:t>
      </w:r>
      <w:r>
        <w:rPr>
          <w:sz w:val="24"/>
        </w:rPr>
        <w:t>TANKOVIĆ</w:t>
      </w:r>
      <w:r w:rsidRPr="00DE06A0">
        <w:rPr>
          <w:sz w:val="24"/>
          <w:vertAlign w:val="superscript"/>
        </w:rPr>
        <w:t>2</w:t>
      </w:r>
      <w:r>
        <w:rPr>
          <w:sz w:val="24"/>
        </w:rPr>
        <w:t xml:space="preserve"> and</w:t>
      </w:r>
      <w:r w:rsidRPr="00DE06A0">
        <w:rPr>
          <w:sz w:val="24"/>
        </w:rPr>
        <w:t xml:space="preserve"> B</w:t>
      </w:r>
      <w:r>
        <w:rPr>
          <w:sz w:val="24"/>
        </w:rPr>
        <w:t>OJAN</w:t>
      </w:r>
      <w:r w:rsidRPr="00DE06A0">
        <w:rPr>
          <w:sz w:val="24"/>
        </w:rPr>
        <w:t xml:space="preserve"> Z</w:t>
      </w:r>
      <w:r>
        <w:rPr>
          <w:sz w:val="24"/>
        </w:rPr>
        <w:t>LATKOVIĆ</w:t>
      </w:r>
      <w:r w:rsidRPr="00DE06A0">
        <w:rPr>
          <w:sz w:val="24"/>
          <w:vertAlign w:val="superscript"/>
        </w:rPr>
        <w:t>3</w:t>
      </w:r>
    </w:p>
    <w:p w:rsidR="000C408C" w:rsidRPr="00BF3BA5" w:rsidRDefault="000C408C" w:rsidP="000C408C">
      <w:pPr>
        <w:pStyle w:val="Affiliation"/>
        <w:spacing w:before="0"/>
        <w:jc w:val="center"/>
        <w:rPr>
          <w:lang w:val="en-US"/>
        </w:rPr>
      </w:pPr>
      <w:r w:rsidRPr="00BF3BA5">
        <w:rPr>
          <w:vertAlign w:val="superscript"/>
        </w:rPr>
        <w:t>1</w:t>
      </w:r>
      <w:r w:rsidRPr="00BF3BA5">
        <w:t>Department</w:t>
      </w:r>
      <w:r w:rsidRPr="00BF3BA5">
        <w:rPr>
          <w:lang w:val="en-US"/>
        </w:rPr>
        <w:t xml:space="preserve"> of Chemistry</w:t>
      </w:r>
      <w:r w:rsidRPr="00BF3BA5">
        <w:t xml:space="preserve">, </w:t>
      </w:r>
      <w:r w:rsidRPr="00BF3BA5">
        <w:rPr>
          <w:lang w:val="en-US"/>
        </w:rPr>
        <w:t>Faculty of Science and Mathematics</w:t>
      </w:r>
      <w:r w:rsidRPr="00BF3BA5">
        <w:t xml:space="preserve">, </w:t>
      </w:r>
      <w:r w:rsidRPr="00BF3BA5">
        <w:rPr>
          <w:lang w:val="en-US"/>
        </w:rPr>
        <w:t>University of Niš</w:t>
      </w:r>
      <w:r w:rsidRPr="00BF3BA5">
        <w:t xml:space="preserve">, Višegradska 33, 18000 </w:t>
      </w:r>
      <w:r w:rsidRPr="00BF3BA5">
        <w:rPr>
          <w:lang w:val="en-US"/>
        </w:rPr>
        <w:t>Niš</w:t>
      </w:r>
      <w:r w:rsidRPr="00BF3BA5">
        <w:t xml:space="preserve">, </w:t>
      </w:r>
      <w:r w:rsidRPr="00BF3BA5">
        <w:rPr>
          <w:lang w:val="en-US"/>
        </w:rPr>
        <w:t>Serbia</w:t>
      </w:r>
    </w:p>
    <w:p w:rsidR="000C408C" w:rsidRPr="00BF3BA5" w:rsidRDefault="000C408C" w:rsidP="000C408C">
      <w:pPr>
        <w:pStyle w:val="Affiliation"/>
        <w:spacing w:before="0"/>
        <w:jc w:val="center"/>
      </w:pPr>
      <w:r w:rsidRPr="00BF3BA5">
        <w:rPr>
          <w:vertAlign w:val="superscript"/>
        </w:rPr>
        <w:t xml:space="preserve">2 </w:t>
      </w:r>
      <w:r w:rsidRPr="00BF3BA5">
        <w:t>Nuclear Facilities of Serbia, Mike Petrovića Alasa 12-14, 11351 Vinča, Serbia</w:t>
      </w:r>
    </w:p>
    <w:p w:rsidR="000C408C" w:rsidRPr="00BF3BA5" w:rsidRDefault="000C408C" w:rsidP="000C408C">
      <w:pPr>
        <w:pStyle w:val="Affiliation"/>
        <w:spacing w:before="0"/>
        <w:jc w:val="center"/>
      </w:pPr>
      <w:r w:rsidRPr="00BF3BA5">
        <w:rPr>
          <w:vertAlign w:val="superscript"/>
        </w:rPr>
        <w:t>3</w:t>
      </w:r>
      <w:r w:rsidRPr="00BF3BA5">
        <w:t xml:space="preserve"> Department of Biology and Ecology, </w:t>
      </w:r>
      <w:r w:rsidRPr="00BF3BA5">
        <w:rPr>
          <w:color w:val="000000"/>
        </w:rPr>
        <w:t>Faculty of Sciences and Mathematics, University of Niš, Višegradska 33, 18000 Niš, Serbia</w:t>
      </w:r>
    </w:p>
    <w:p w:rsidR="00577422" w:rsidRPr="00BB71E6" w:rsidRDefault="00577422" w:rsidP="00501847">
      <w:pPr>
        <w:spacing w:after="0" w:line="360" w:lineRule="auto"/>
        <w:rPr>
          <w:rFonts w:ascii="Times New Roman" w:hAnsi="Times New Roman"/>
          <w:sz w:val="24"/>
          <w:szCs w:val="24"/>
          <w:lang w:val="en-GB"/>
        </w:rPr>
      </w:pPr>
    </w:p>
    <w:p w:rsidR="00577422" w:rsidRPr="00BB71E6" w:rsidRDefault="00577422" w:rsidP="00501847">
      <w:pPr>
        <w:spacing w:after="0" w:line="360" w:lineRule="auto"/>
        <w:rPr>
          <w:rFonts w:ascii="Times New Roman" w:hAnsi="Times New Roman"/>
          <w:sz w:val="24"/>
          <w:szCs w:val="24"/>
          <w:lang w:val="en-GB"/>
        </w:rPr>
      </w:pPr>
    </w:p>
    <w:p w:rsidR="00CD24B7" w:rsidRPr="00DE06A0" w:rsidRDefault="00CD24B7" w:rsidP="00CD24B7">
      <w:pPr>
        <w:adjustRightInd w:val="0"/>
        <w:spacing w:after="0" w:line="360" w:lineRule="auto"/>
        <w:jc w:val="both"/>
        <w:rPr>
          <w:rFonts w:ascii="Times New Roman" w:hAnsi="Times New Roman"/>
          <w:sz w:val="24"/>
          <w:szCs w:val="24"/>
        </w:rPr>
      </w:pPr>
      <w:r w:rsidRPr="00DE06A0">
        <w:rPr>
          <w:rFonts w:ascii="Times New Roman" w:hAnsi="Times New Roman"/>
          <w:bCs/>
          <w:i/>
          <w:color w:val="000000"/>
          <w:sz w:val="24"/>
          <w:szCs w:val="24"/>
        </w:rPr>
        <w:t>Lichen material</w:t>
      </w:r>
    </w:p>
    <w:p w:rsidR="00CD24B7" w:rsidRPr="00DE06A0" w:rsidRDefault="00CD24B7" w:rsidP="00CD24B7">
      <w:pPr>
        <w:autoSpaceDE w:val="0"/>
        <w:autoSpaceDN w:val="0"/>
        <w:adjustRightInd w:val="0"/>
        <w:spacing w:after="0" w:line="360" w:lineRule="auto"/>
        <w:jc w:val="both"/>
        <w:rPr>
          <w:rFonts w:ascii="Times New Roman" w:hAnsi="Times New Roman"/>
          <w:noProof/>
          <w:sz w:val="24"/>
          <w:szCs w:val="24"/>
        </w:rPr>
      </w:pPr>
      <w:r w:rsidRPr="00DE06A0">
        <w:rPr>
          <w:rFonts w:ascii="Times New Roman" w:hAnsi="Times New Roman"/>
          <w:sz w:val="24"/>
          <w:szCs w:val="24"/>
        </w:rPr>
        <w:t xml:space="preserve">Lichen </w:t>
      </w:r>
      <w:r w:rsidRPr="00DE06A0">
        <w:rPr>
          <w:rStyle w:val="Emphasis"/>
          <w:rFonts w:ascii="Times New Roman" w:hAnsi="Times New Roman"/>
          <w:color w:val="000000"/>
          <w:sz w:val="24"/>
          <w:szCs w:val="24"/>
          <w:bdr w:val="none" w:sz="0" w:space="0" w:color="auto" w:frame="1"/>
          <w:shd w:val="clear" w:color="auto" w:fill="FFFFFF"/>
        </w:rPr>
        <w:t>E. prunastri</w:t>
      </w:r>
      <w:r w:rsidRPr="00DE06A0">
        <w:rPr>
          <w:rStyle w:val="srtitle"/>
          <w:rFonts w:ascii="Times New Roman" w:hAnsi="Times New Roman"/>
          <w:bCs/>
          <w:color w:val="000000"/>
          <w:sz w:val="24"/>
          <w:szCs w:val="24"/>
          <w:bdr w:val="none" w:sz="0" w:space="0" w:color="auto" w:frame="1"/>
        </w:rPr>
        <w:t>, was</w:t>
      </w:r>
      <w:r w:rsidRPr="00DE06A0">
        <w:rPr>
          <w:rFonts w:ascii="Times New Roman" w:hAnsi="Times New Roman"/>
          <w:sz w:val="24"/>
          <w:szCs w:val="24"/>
        </w:rPr>
        <w:t xml:space="preserve"> collected in October 2015 at Vlasina visoravan, (1213</w:t>
      </w:r>
      <w:r w:rsidRPr="00DE06A0">
        <w:rPr>
          <w:rFonts w:ascii="Times New Roman" w:hAnsi="Times New Roman"/>
          <w:color w:val="133014"/>
          <w:sz w:val="18"/>
          <w:szCs w:val="18"/>
        </w:rPr>
        <w:t xml:space="preserve"> </w:t>
      </w:r>
      <w:r w:rsidRPr="00DE06A0">
        <w:rPr>
          <w:rFonts w:ascii="Times New Roman" w:hAnsi="Times New Roman"/>
          <w:sz w:val="24"/>
          <w:szCs w:val="24"/>
        </w:rPr>
        <w:t>m above sea level, coordinates N 42°41' and E 22°20'</w:t>
      </w:r>
      <w:r w:rsidRPr="00DE06A0">
        <w:rPr>
          <w:rFonts w:ascii="Times New Roman" w:hAnsi="Times New Roman"/>
          <w:color w:val="133014"/>
          <w:sz w:val="18"/>
          <w:szCs w:val="18"/>
        </w:rPr>
        <w:t xml:space="preserve"> </w:t>
      </w:r>
      <w:r w:rsidRPr="00DE06A0">
        <w:rPr>
          <w:rFonts w:ascii="Times New Roman" w:hAnsi="Times New Roman"/>
          <w:sz w:val="24"/>
          <w:szCs w:val="24"/>
        </w:rPr>
        <w:t xml:space="preserve">Serbia) from </w:t>
      </w:r>
      <w:r w:rsidRPr="00DE06A0">
        <w:rPr>
          <w:rFonts w:ascii="Times New Roman" w:hAnsi="Times New Roman"/>
          <w:i/>
          <w:sz w:val="24"/>
          <w:szCs w:val="24"/>
        </w:rPr>
        <w:t xml:space="preserve">Prunus domestica </w:t>
      </w:r>
      <w:r w:rsidRPr="00DE06A0">
        <w:rPr>
          <w:rFonts w:ascii="Times New Roman" w:hAnsi="Times New Roman"/>
          <w:sz w:val="24"/>
          <w:szCs w:val="24"/>
        </w:rPr>
        <w:t>bark. The voucher specimen has been deposited in the Herbarium collection at the Department of Biology and Ecology, Faculty of Science and Mathematics, University of Niš under the acquisition number 10892. The lichen material was air-dried without exposure to direct sunlight for 10 days and stored at ambient temperature (25° ± 2°C) prior further treatment.</w:t>
      </w:r>
      <w:r w:rsidRPr="00DE06A0">
        <w:rPr>
          <w:rFonts w:ascii="Times New Roman" w:hAnsi="Times New Roman"/>
          <w:noProof/>
          <w:sz w:val="24"/>
          <w:szCs w:val="24"/>
        </w:rPr>
        <w:t xml:space="preserve"> </w:t>
      </w:r>
      <w:r w:rsidRPr="00DE06A0">
        <w:rPr>
          <w:rFonts w:ascii="Times New Roman" w:hAnsi="Times New Roman"/>
          <w:sz w:val="24"/>
          <w:szCs w:val="24"/>
        </w:rPr>
        <w:t>Taxonomical identifications was performed by dr Bojan Zlatković Department of Biology and Ecology, Faculty of Science and Mathematics, University of Niš.</w:t>
      </w:r>
    </w:p>
    <w:p w:rsidR="00CD24B7" w:rsidRPr="00DE06A0" w:rsidRDefault="00CD24B7" w:rsidP="00CD24B7">
      <w:pPr>
        <w:spacing w:after="0" w:line="360" w:lineRule="auto"/>
        <w:ind w:firstLine="288"/>
        <w:jc w:val="both"/>
        <w:rPr>
          <w:rFonts w:ascii="Times New Roman" w:hAnsi="Times New Roman"/>
          <w:sz w:val="24"/>
          <w:szCs w:val="24"/>
        </w:rPr>
      </w:pPr>
    </w:p>
    <w:p w:rsidR="00CD24B7" w:rsidRPr="00DE06A0" w:rsidRDefault="00CD24B7" w:rsidP="00CD24B7">
      <w:pPr>
        <w:adjustRightInd w:val="0"/>
        <w:spacing w:after="0" w:line="360" w:lineRule="auto"/>
        <w:jc w:val="both"/>
        <w:rPr>
          <w:rFonts w:ascii="Times New Roman" w:hAnsi="Times New Roman"/>
          <w:bCs/>
          <w:i/>
          <w:color w:val="000000"/>
          <w:sz w:val="24"/>
          <w:szCs w:val="24"/>
        </w:rPr>
      </w:pPr>
      <w:r w:rsidRPr="00DE06A0">
        <w:rPr>
          <w:rFonts w:ascii="Times New Roman" w:hAnsi="Times New Roman"/>
          <w:bCs/>
          <w:i/>
          <w:color w:val="000000"/>
          <w:sz w:val="24"/>
          <w:szCs w:val="24"/>
        </w:rPr>
        <w:t xml:space="preserve">Preparation of lichen extracts </w:t>
      </w:r>
    </w:p>
    <w:p w:rsidR="00CD24B7" w:rsidRPr="00DE06A0" w:rsidRDefault="00CD24B7" w:rsidP="00CD24B7">
      <w:pPr>
        <w:adjustRightInd w:val="0"/>
        <w:spacing w:after="0" w:line="360" w:lineRule="auto"/>
        <w:jc w:val="both"/>
        <w:rPr>
          <w:rFonts w:ascii="Times New Roman" w:hAnsi="Times New Roman"/>
          <w:sz w:val="24"/>
          <w:szCs w:val="24"/>
        </w:rPr>
      </w:pPr>
      <w:r w:rsidRPr="00DE06A0">
        <w:rPr>
          <w:rFonts w:ascii="Times New Roman" w:hAnsi="Times New Roman"/>
          <w:sz w:val="24"/>
          <w:szCs w:val="24"/>
        </w:rPr>
        <w:t>For HPLC-UV, GC-MS and GC-FID analysis extracts</w:t>
      </w:r>
      <w:r w:rsidRPr="00DE06A0">
        <w:rPr>
          <w:rFonts w:ascii="Times New Roman" w:hAnsi="Times New Roman"/>
          <w:color w:val="000000"/>
          <w:sz w:val="24"/>
          <w:szCs w:val="24"/>
        </w:rPr>
        <w:t xml:space="preserve"> were prepared according to procedure described by Stojanović et al. (2017).</w:t>
      </w:r>
      <w:r w:rsidRPr="006477E6">
        <w:rPr>
          <w:rFonts w:ascii="Times New Roman" w:hAnsi="Times New Roman"/>
          <w:color w:val="000000"/>
          <w:sz w:val="24"/>
          <w:szCs w:val="24"/>
          <w:vertAlign w:val="superscript"/>
        </w:rPr>
        <w:t>1</w:t>
      </w:r>
      <w:r w:rsidRPr="00DE06A0">
        <w:rPr>
          <w:rFonts w:ascii="Times New Roman" w:hAnsi="Times New Roman"/>
          <w:color w:val="000000"/>
          <w:sz w:val="24"/>
          <w:szCs w:val="24"/>
        </w:rPr>
        <w:t xml:space="preserve"> </w:t>
      </w:r>
      <w:r w:rsidRPr="00DE06A0">
        <w:rPr>
          <w:rFonts w:ascii="Times New Roman" w:hAnsi="Times New Roman"/>
          <w:sz w:val="24"/>
          <w:szCs w:val="24"/>
        </w:rPr>
        <w:t xml:space="preserve">In order to obtain </w:t>
      </w:r>
      <w:r w:rsidRPr="00DE06A0">
        <w:rPr>
          <w:rFonts w:ascii="Times New Roman" w:hAnsi="Times New Roman"/>
          <w:color w:val="000000"/>
          <w:sz w:val="24"/>
          <w:szCs w:val="24"/>
        </w:rPr>
        <w:t>dry acetone extract prior to further testing of biological activities f</w:t>
      </w:r>
      <w:r w:rsidRPr="00DE06A0">
        <w:rPr>
          <w:rStyle w:val="hps"/>
          <w:rFonts w:ascii="Times New Roman" w:hAnsi="Times New Roman"/>
          <w:sz w:val="24"/>
          <w:szCs w:val="24"/>
        </w:rPr>
        <w:t xml:space="preserve">inely ground dry </w:t>
      </w:r>
      <w:r w:rsidRPr="00DE06A0">
        <w:rPr>
          <w:rFonts w:ascii="Times New Roman" w:hAnsi="Times New Roman"/>
          <w:sz w:val="24"/>
          <w:szCs w:val="24"/>
        </w:rPr>
        <w:t>lichen thalli (10 g) was extracted as previously described.</w:t>
      </w:r>
      <w:r>
        <w:rPr>
          <w:rFonts w:ascii="Times New Roman" w:hAnsi="Times New Roman"/>
          <w:sz w:val="24"/>
          <w:szCs w:val="24"/>
          <w:vertAlign w:val="superscript"/>
        </w:rPr>
        <w:t xml:space="preserve">2 </w:t>
      </w:r>
      <w:r w:rsidRPr="00DE06A0">
        <w:rPr>
          <w:rFonts w:ascii="Times New Roman" w:hAnsi="Times New Roman"/>
          <w:sz w:val="24"/>
          <w:szCs w:val="24"/>
        </w:rPr>
        <w:t xml:space="preserve">The extract yield was 6.59 ±0.5 % (w/w). </w:t>
      </w:r>
    </w:p>
    <w:p w:rsidR="00CD24B7" w:rsidRPr="00DE06A0" w:rsidRDefault="00CD24B7" w:rsidP="00CD24B7">
      <w:pPr>
        <w:autoSpaceDE w:val="0"/>
        <w:autoSpaceDN w:val="0"/>
        <w:adjustRightInd w:val="0"/>
        <w:spacing w:after="0" w:line="360" w:lineRule="auto"/>
        <w:ind w:firstLine="288"/>
        <w:jc w:val="both"/>
        <w:rPr>
          <w:rFonts w:ascii="Times New Roman" w:hAnsi="Times New Roman"/>
          <w:sz w:val="24"/>
          <w:szCs w:val="24"/>
        </w:rPr>
      </w:pPr>
      <w:r w:rsidRPr="00DE06A0">
        <w:rPr>
          <w:rFonts w:ascii="Times New Roman" w:hAnsi="Times New Roman"/>
          <w:sz w:val="24"/>
          <w:szCs w:val="24"/>
        </w:rPr>
        <w:t xml:space="preserve"> </w:t>
      </w:r>
    </w:p>
    <w:p w:rsidR="00CD24B7" w:rsidRPr="00DE06A0" w:rsidRDefault="00CD24B7" w:rsidP="00CD24B7">
      <w:pPr>
        <w:spacing w:after="0" w:line="360" w:lineRule="auto"/>
        <w:jc w:val="both"/>
        <w:rPr>
          <w:rFonts w:ascii="Times New Roman" w:hAnsi="Times New Roman"/>
          <w:i/>
          <w:sz w:val="24"/>
          <w:szCs w:val="24"/>
        </w:rPr>
      </w:pPr>
      <w:r w:rsidRPr="00DE06A0">
        <w:rPr>
          <w:rFonts w:ascii="Times New Roman" w:hAnsi="Times New Roman"/>
          <w:i/>
          <w:sz w:val="24"/>
          <w:szCs w:val="24"/>
        </w:rPr>
        <w:t>HPLC-UV analysis</w:t>
      </w:r>
    </w:p>
    <w:p w:rsidR="00CD24B7" w:rsidRPr="00DE06A0" w:rsidRDefault="00CD24B7" w:rsidP="00CD24B7">
      <w:pPr>
        <w:keepNext/>
        <w:adjustRightInd w:val="0"/>
        <w:spacing w:after="0" w:line="360" w:lineRule="auto"/>
        <w:jc w:val="both"/>
        <w:rPr>
          <w:rFonts w:ascii="Times New Roman" w:hAnsi="Times New Roman"/>
          <w:color w:val="000000"/>
          <w:sz w:val="24"/>
          <w:szCs w:val="24"/>
        </w:rPr>
      </w:pPr>
      <w:r w:rsidRPr="00DE06A0">
        <w:rPr>
          <w:rFonts w:ascii="Times New Roman" w:hAnsi="Times New Roman"/>
          <w:sz w:val="24"/>
          <w:szCs w:val="24"/>
        </w:rPr>
        <w:t>HPLC</w:t>
      </w:r>
      <w:r w:rsidRPr="00DE06A0">
        <w:rPr>
          <w:rFonts w:ascii="Times New Roman" w:hAnsi="Times New Roman"/>
          <w:color w:val="000000"/>
          <w:sz w:val="24"/>
          <w:szCs w:val="24"/>
        </w:rPr>
        <w:t>-UV</w:t>
      </w:r>
      <w:r w:rsidRPr="00DE06A0">
        <w:rPr>
          <w:rFonts w:ascii="Times New Roman" w:hAnsi="Times New Roman"/>
          <w:sz w:val="24"/>
          <w:szCs w:val="24"/>
        </w:rPr>
        <w:t xml:space="preserve"> analysis was performed according the experimental procedure used in a previous research by Stojanović et al. (2017).</w:t>
      </w:r>
      <w:r w:rsidRPr="00972DD9">
        <w:rPr>
          <w:rFonts w:ascii="Times New Roman" w:hAnsi="Times New Roman"/>
          <w:sz w:val="24"/>
          <w:szCs w:val="24"/>
          <w:vertAlign w:val="superscript"/>
        </w:rPr>
        <w:t>1</w:t>
      </w:r>
      <w:r w:rsidRPr="00DE06A0">
        <w:rPr>
          <w:rFonts w:ascii="Times New Roman" w:hAnsi="Times New Roman"/>
          <w:sz w:val="24"/>
          <w:szCs w:val="24"/>
        </w:rPr>
        <w:t xml:space="preserve"> </w:t>
      </w:r>
      <w:r w:rsidRPr="00DE06A0">
        <w:rPr>
          <w:rFonts w:ascii="Times New Roman" w:hAnsi="Times New Roman"/>
          <w:color w:val="000000"/>
          <w:sz w:val="24"/>
          <w:szCs w:val="24"/>
        </w:rPr>
        <w:t xml:space="preserve">Identification was conducted using UV spectra and retention time of isolated components. </w:t>
      </w:r>
    </w:p>
    <w:p w:rsidR="00CD24B7" w:rsidRPr="00DE06A0" w:rsidRDefault="00CD24B7" w:rsidP="00CD24B7">
      <w:pPr>
        <w:spacing w:after="0" w:line="360" w:lineRule="auto"/>
        <w:ind w:firstLine="288"/>
        <w:jc w:val="both"/>
        <w:rPr>
          <w:rFonts w:ascii="Times New Roman" w:hAnsi="Times New Roman"/>
          <w:sz w:val="24"/>
          <w:szCs w:val="24"/>
        </w:rPr>
      </w:pPr>
    </w:p>
    <w:p w:rsidR="00CD24B7" w:rsidRPr="00DE06A0" w:rsidRDefault="00CD24B7" w:rsidP="00CD24B7">
      <w:pPr>
        <w:keepNext/>
        <w:adjustRightInd w:val="0"/>
        <w:spacing w:after="0" w:line="360" w:lineRule="auto"/>
        <w:jc w:val="both"/>
        <w:rPr>
          <w:rFonts w:ascii="Times New Roman" w:hAnsi="Times New Roman"/>
          <w:color w:val="000000"/>
          <w:sz w:val="24"/>
          <w:szCs w:val="24"/>
        </w:rPr>
      </w:pPr>
      <w:r w:rsidRPr="00DE06A0">
        <w:rPr>
          <w:rFonts w:ascii="Times New Roman" w:hAnsi="Times New Roman"/>
          <w:bCs/>
          <w:i/>
          <w:iCs/>
          <w:color w:val="000000"/>
          <w:sz w:val="24"/>
          <w:szCs w:val="24"/>
        </w:rPr>
        <w:lastRenderedPageBreak/>
        <w:t xml:space="preserve">GC-MS analysis </w:t>
      </w:r>
    </w:p>
    <w:p w:rsidR="00CD24B7" w:rsidRPr="00DE06A0" w:rsidRDefault="00CD24B7" w:rsidP="00CD24B7">
      <w:pPr>
        <w:spacing w:after="0" w:line="360" w:lineRule="auto"/>
        <w:jc w:val="both"/>
        <w:rPr>
          <w:rFonts w:ascii="Times New Roman" w:hAnsi="Times New Roman"/>
          <w:sz w:val="24"/>
          <w:szCs w:val="24"/>
        </w:rPr>
      </w:pPr>
      <w:r w:rsidRPr="00DE06A0">
        <w:rPr>
          <w:rFonts w:ascii="Times New Roman" w:hAnsi="Times New Roman"/>
          <w:color w:val="000000"/>
          <w:sz w:val="24"/>
          <w:szCs w:val="24"/>
        </w:rPr>
        <w:t xml:space="preserve">The volatile components of the </w:t>
      </w:r>
      <w:r w:rsidRPr="00DE06A0">
        <w:rPr>
          <w:rFonts w:ascii="Times New Roman" w:hAnsi="Times New Roman"/>
          <w:sz w:val="24"/>
          <w:szCs w:val="24"/>
        </w:rPr>
        <w:t>acetone</w:t>
      </w:r>
      <w:r w:rsidRPr="00DE06A0">
        <w:rPr>
          <w:rFonts w:ascii="Times New Roman" w:hAnsi="Times New Roman"/>
          <w:color w:val="000000"/>
          <w:sz w:val="24"/>
          <w:szCs w:val="24"/>
        </w:rPr>
        <w:t xml:space="preserve">, ether, ethyl acetate and dichloromethane extracts of </w:t>
      </w:r>
      <w:r w:rsidRPr="00DE06A0">
        <w:rPr>
          <w:rStyle w:val="Emphasis"/>
          <w:rFonts w:ascii="Times New Roman" w:hAnsi="Times New Roman"/>
          <w:color w:val="000000"/>
          <w:sz w:val="24"/>
          <w:szCs w:val="24"/>
          <w:bdr w:val="none" w:sz="0" w:space="0" w:color="auto" w:frame="1"/>
          <w:shd w:val="clear" w:color="auto" w:fill="FFFFFF"/>
        </w:rPr>
        <w:t xml:space="preserve">E. prunastri </w:t>
      </w:r>
      <w:r w:rsidRPr="00DE06A0">
        <w:rPr>
          <w:rFonts w:ascii="Times New Roman" w:hAnsi="Times New Roman"/>
          <w:color w:val="000000"/>
          <w:sz w:val="24"/>
          <w:szCs w:val="24"/>
        </w:rPr>
        <w:t>were investigated by GC-MS (in triplicate), which were carried out using a 7890/7000B GC-MS/MS triple quadrupole system (Agilent Technologies, USA, equipped with a Combi PAL auto sampler) fallowing the experimental conditions described by Stojanović et al. (2017).</w:t>
      </w:r>
      <w:r w:rsidRPr="00972DD9">
        <w:rPr>
          <w:rFonts w:ascii="Times New Roman" w:hAnsi="Times New Roman"/>
          <w:color w:val="000000"/>
          <w:sz w:val="24"/>
          <w:szCs w:val="24"/>
          <w:vertAlign w:val="superscript"/>
        </w:rPr>
        <w:t>1</w:t>
      </w:r>
      <w:r w:rsidRPr="00DE06A0">
        <w:rPr>
          <w:rFonts w:ascii="Times New Roman" w:hAnsi="Times New Roman"/>
          <w:color w:val="000000"/>
          <w:sz w:val="24"/>
          <w:szCs w:val="24"/>
        </w:rPr>
        <w:t xml:space="preserve"> </w:t>
      </w:r>
      <w:r w:rsidRPr="00DE06A0">
        <w:rPr>
          <w:rFonts w:ascii="Times New Roman" w:hAnsi="Times New Roman"/>
          <w:sz w:val="24"/>
          <w:szCs w:val="24"/>
        </w:rPr>
        <w:t xml:space="preserve">The percentage composition was computed from the GC-FID peak areas. </w:t>
      </w:r>
    </w:p>
    <w:p w:rsidR="00CD24B7" w:rsidRPr="00DE06A0" w:rsidRDefault="00CD24B7" w:rsidP="00CD24B7">
      <w:pPr>
        <w:spacing w:after="0" w:line="360" w:lineRule="auto"/>
        <w:jc w:val="both"/>
        <w:rPr>
          <w:rFonts w:ascii="Times New Roman" w:hAnsi="Times New Roman"/>
          <w:color w:val="000000"/>
          <w:sz w:val="24"/>
          <w:szCs w:val="24"/>
        </w:rPr>
      </w:pPr>
      <w:r w:rsidRPr="00DE06A0">
        <w:rPr>
          <w:rFonts w:ascii="Times New Roman" w:hAnsi="Times New Roman"/>
          <w:color w:val="000000"/>
          <w:sz w:val="24"/>
          <w:szCs w:val="24"/>
        </w:rPr>
        <w:t>Constituents were identified by comparison of their linear retention indices (relative to C8 – C40 alkanes on the HP-5MS column) with literature values and their MS with those from Wiley 6, NIST02 and Mass Finder 2.3, by the application of the AMDIS software (the Automated Mass Spectral Deconvolution and Identification System, Ver. 2.1, DTRA/NIST, 2011).</w:t>
      </w:r>
    </w:p>
    <w:p w:rsidR="00CD24B7" w:rsidRPr="00DE06A0" w:rsidRDefault="00CD24B7" w:rsidP="00CD24B7">
      <w:pPr>
        <w:keepNext/>
        <w:adjustRightInd w:val="0"/>
        <w:spacing w:after="0" w:line="360" w:lineRule="auto"/>
        <w:jc w:val="both"/>
        <w:rPr>
          <w:rFonts w:ascii="Times New Roman" w:hAnsi="Times New Roman"/>
          <w:color w:val="000000"/>
          <w:sz w:val="24"/>
          <w:szCs w:val="24"/>
        </w:rPr>
      </w:pPr>
    </w:p>
    <w:p w:rsidR="00CD24B7" w:rsidRPr="00DE06A0" w:rsidRDefault="00CD24B7" w:rsidP="00CD24B7">
      <w:pPr>
        <w:autoSpaceDE w:val="0"/>
        <w:autoSpaceDN w:val="0"/>
        <w:adjustRightInd w:val="0"/>
        <w:spacing w:after="0" w:line="360" w:lineRule="auto"/>
        <w:jc w:val="both"/>
        <w:rPr>
          <w:rFonts w:ascii="Times New Roman" w:hAnsi="Times New Roman"/>
          <w:i/>
          <w:sz w:val="24"/>
          <w:szCs w:val="24"/>
        </w:rPr>
      </w:pPr>
      <w:r w:rsidRPr="00DE06A0">
        <w:rPr>
          <w:rFonts w:ascii="Times New Roman" w:hAnsi="Times New Roman"/>
          <w:i/>
          <w:sz w:val="24"/>
          <w:szCs w:val="24"/>
        </w:rPr>
        <w:t>Cytokinesis-block micronucleus assay (CBMN)</w:t>
      </w:r>
    </w:p>
    <w:p w:rsidR="00CD24B7" w:rsidRPr="00972DD9" w:rsidRDefault="00CD24B7" w:rsidP="00CD24B7">
      <w:pPr>
        <w:autoSpaceDE w:val="0"/>
        <w:autoSpaceDN w:val="0"/>
        <w:adjustRightInd w:val="0"/>
        <w:spacing w:after="0" w:line="360" w:lineRule="auto"/>
        <w:jc w:val="both"/>
        <w:rPr>
          <w:rFonts w:ascii="Times New Roman" w:hAnsi="Times New Roman"/>
          <w:sz w:val="24"/>
          <w:szCs w:val="24"/>
          <w:vertAlign w:val="superscript"/>
        </w:rPr>
      </w:pPr>
      <w:r w:rsidRPr="00DE06A0">
        <w:rPr>
          <w:rFonts w:ascii="Times New Roman" w:hAnsi="Times New Roman"/>
          <w:sz w:val="24"/>
          <w:szCs w:val="24"/>
        </w:rPr>
        <w:t xml:space="preserve">The human </w:t>
      </w:r>
      <w:r w:rsidRPr="00DE06A0">
        <w:rPr>
          <w:rFonts w:ascii="Times New Roman" w:hAnsi="Times New Roman"/>
          <w:i/>
          <w:sz w:val="24"/>
          <w:szCs w:val="24"/>
        </w:rPr>
        <w:t xml:space="preserve">in vitro </w:t>
      </w:r>
      <w:r w:rsidRPr="00DE06A0">
        <w:rPr>
          <w:rFonts w:ascii="Times New Roman" w:hAnsi="Times New Roman"/>
          <w:sz w:val="24"/>
          <w:szCs w:val="24"/>
        </w:rPr>
        <w:t xml:space="preserve">micronucleus (MN) test is one of the widely used </w:t>
      </w:r>
      <w:r w:rsidRPr="00DE06A0">
        <w:rPr>
          <w:rFonts w:ascii="Times New Roman" w:hAnsi="Times New Roman"/>
          <w:sz w:val="24"/>
          <w:szCs w:val="24"/>
          <w:shd w:val="clear" w:color="auto" w:fill="FFFFFF"/>
        </w:rPr>
        <w:t>genotoxicity test</w:t>
      </w:r>
      <w:r w:rsidRPr="00DE06A0">
        <w:rPr>
          <w:rFonts w:ascii="Times New Roman" w:hAnsi="Times New Roman"/>
          <w:sz w:val="24"/>
          <w:szCs w:val="24"/>
        </w:rPr>
        <w:t xml:space="preserve"> for monitoring of chromosome damage in human populations. Cytokinesis–block micronucleus</w:t>
      </w:r>
      <w:r w:rsidRPr="00DE06A0">
        <w:rPr>
          <w:rFonts w:ascii="Times New Roman" w:hAnsi="Times New Roman"/>
          <w:b/>
          <w:sz w:val="24"/>
          <w:szCs w:val="24"/>
        </w:rPr>
        <w:t xml:space="preserve"> </w:t>
      </w:r>
      <w:r w:rsidRPr="00DE06A0">
        <w:rPr>
          <w:rFonts w:ascii="Times New Roman" w:hAnsi="Times New Roman"/>
          <w:sz w:val="24"/>
          <w:szCs w:val="24"/>
        </w:rPr>
        <w:t>assay was performed as previously described</w:t>
      </w:r>
      <w:r w:rsidRPr="00DE06A0">
        <w:rPr>
          <w:rFonts w:ascii="Times New Roman" w:hAnsi="Times New Roman"/>
          <w:color w:val="000000"/>
          <w:sz w:val="24"/>
          <w:szCs w:val="24"/>
        </w:rPr>
        <w:t>.</w:t>
      </w:r>
      <w:r>
        <w:rPr>
          <w:rFonts w:ascii="Times New Roman" w:hAnsi="Times New Roman"/>
          <w:color w:val="000000"/>
          <w:sz w:val="24"/>
          <w:szCs w:val="24"/>
          <w:vertAlign w:val="superscript"/>
        </w:rPr>
        <w:t>3,4</w:t>
      </w:r>
    </w:p>
    <w:p w:rsidR="00CD24B7" w:rsidRPr="00DE06A0" w:rsidRDefault="00CD24B7" w:rsidP="00CD24B7">
      <w:pPr>
        <w:tabs>
          <w:tab w:val="left" w:pos="360"/>
        </w:tabs>
        <w:spacing w:after="0" w:line="360" w:lineRule="auto"/>
        <w:jc w:val="both"/>
        <w:rPr>
          <w:rFonts w:ascii="Times New Roman" w:hAnsi="Times New Roman"/>
          <w:i/>
          <w:sz w:val="24"/>
          <w:szCs w:val="24"/>
        </w:rPr>
      </w:pPr>
    </w:p>
    <w:p w:rsidR="00CD24B7" w:rsidRPr="00DE06A0" w:rsidRDefault="00CD24B7" w:rsidP="00CD24B7">
      <w:pPr>
        <w:tabs>
          <w:tab w:val="left" w:pos="360"/>
        </w:tabs>
        <w:spacing w:after="0" w:line="360" w:lineRule="auto"/>
        <w:jc w:val="both"/>
        <w:rPr>
          <w:rFonts w:ascii="Times New Roman" w:hAnsi="Times New Roman"/>
          <w:i/>
          <w:sz w:val="24"/>
          <w:szCs w:val="24"/>
        </w:rPr>
      </w:pPr>
      <w:r w:rsidRPr="00DE06A0">
        <w:rPr>
          <w:rFonts w:ascii="Times New Roman" w:hAnsi="Times New Roman"/>
          <w:i/>
          <w:sz w:val="24"/>
          <w:szCs w:val="24"/>
        </w:rPr>
        <w:t>Total phenolic content and antioxidant activity</w:t>
      </w:r>
    </w:p>
    <w:p w:rsidR="00CD24B7" w:rsidRPr="00DE06A0" w:rsidRDefault="00CD24B7" w:rsidP="00CD24B7">
      <w:pPr>
        <w:spacing w:after="0" w:line="360" w:lineRule="auto"/>
        <w:jc w:val="both"/>
        <w:rPr>
          <w:rFonts w:ascii="Times New Roman" w:hAnsi="Times New Roman"/>
          <w:sz w:val="24"/>
          <w:szCs w:val="24"/>
        </w:rPr>
      </w:pPr>
      <w:r w:rsidRPr="00DE06A0">
        <w:rPr>
          <w:rFonts w:ascii="Times New Roman" w:hAnsi="Times New Roman"/>
          <w:sz w:val="24"/>
          <w:szCs w:val="24"/>
        </w:rPr>
        <w:t>Total phenolic content (TPC) and four antioxidant assays:</w:t>
      </w:r>
      <w:r w:rsidRPr="00DE06A0">
        <w:rPr>
          <w:rFonts w:ascii="Times New Roman" w:hAnsi="Times New Roman"/>
          <w:b/>
          <w:sz w:val="24"/>
          <w:szCs w:val="24"/>
        </w:rPr>
        <w:t xml:space="preserve"> </w:t>
      </w:r>
      <w:r w:rsidRPr="00DE06A0">
        <w:rPr>
          <w:rFonts w:ascii="Times New Roman" w:hAnsi="Times New Roman"/>
          <w:sz w:val="24"/>
          <w:szCs w:val="24"/>
        </w:rPr>
        <w:t>DPPH and ABTS scavenging radical capacity,</w:t>
      </w:r>
      <w:r w:rsidRPr="00DE06A0">
        <w:rPr>
          <w:rFonts w:ascii="Times New Roman" w:hAnsi="Times New Roman"/>
          <w:b/>
          <w:sz w:val="24"/>
          <w:szCs w:val="24"/>
        </w:rPr>
        <w:t xml:space="preserve"> </w:t>
      </w:r>
      <w:r w:rsidRPr="00DE06A0">
        <w:rPr>
          <w:rFonts w:ascii="Times New Roman" w:hAnsi="Times New Roman"/>
          <w:sz w:val="24"/>
          <w:szCs w:val="24"/>
        </w:rPr>
        <w:t>CUPRAC (</w:t>
      </w:r>
      <w:r w:rsidRPr="00DE06A0">
        <w:rPr>
          <w:rFonts w:ascii="Times New Roman" w:eastAsia="Times New Roman" w:hAnsi="Times New Roman"/>
          <w:color w:val="000000"/>
          <w:sz w:val="24"/>
          <w:szCs w:val="24"/>
        </w:rPr>
        <w:t>cupric reducing antioxidant capacity)</w:t>
      </w:r>
      <w:r w:rsidRPr="00DE06A0">
        <w:rPr>
          <w:rFonts w:ascii="Times New Roman" w:hAnsi="Times New Roman"/>
          <w:sz w:val="24"/>
          <w:szCs w:val="24"/>
        </w:rPr>
        <w:t xml:space="preserve"> and TRP (total reducing power) were performed</w:t>
      </w:r>
      <w:r w:rsidRPr="00DE06A0">
        <w:rPr>
          <w:rFonts w:ascii="Times New Roman" w:hAnsi="Times New Roman"/>
          <w:b/>
          <w:sz w:val="24"/>
          <w:szCs w:val="24"/>
        </w:rPr>
        <w:t xml:space="preserve"> </w:t>
      </w:r>
      <w:r>
        <w:rPr>
          <w:rFonts w:ascii="Times New Roman" w:hAnsi="Times New Roman"/>
          <w:sz w:val="24"/>
          <w:szCs w:val="24"/>
        </w:rPr>
        <w:t>as previously described</w:t>
      </w:r>
      <w:r w:rsidRPr="00DE06A0">
        <w:rPr>
          <w:rFonts w:ascii="Times New Roman" w:hAnsi="Times New Roman"/>
          <w:sz w:val="24"/>
          <w:szCs w:val="24"/>
        </w:rPr>
        <w:t>.</w:t>
      </w:r>
      <w:r>
        <w:rPr>
          <w:rFonts w:ascii="Times New Roman" w:hAnsi="Times New Roman"/>
          <w:sz w:val="24"/>
          <w:szCs w:val="24"/>
          <w:vertAlign w:val="superscript"/>
        </w:rPr>
        <w:t>5,6</w:t>
      </w:r>
      <w:r>
        <w:rPr>
          <w:rFonts w:ascii="Times New Roman" w:hAnsi="Times New Roman"/>
          <w:sz w:val="24"/>
          <w:szCs w:val="24"/>
        </w:rPr>
        <w:t xml:space="preserve"> </w:t>
      </w:r>
      <w:r w:rsidRPr="00DE06A0">
        <w:rPr>
          <w:rFonts w:ascii="Times New Roman" w:hAnsi="Times New Roman"/>
          <w:sz w:val="24"/>
          <w:szCs w:val="24"/>
        </w:rPr>
        <w:t>The amount of total phenolic content (TPC) was expressed as mg galic acid equivalents  per g of dry extract weight (</w:t>
      </w:r>
      <w:r w:rsidRPr="00DE06A0">
        <w:rPr>
          <w:rFonts w:ascii="Times New Roman" w:hAnsi="Times New Roman"/>
          <w:color w:val="000000"/>
          <w:sz w:val="24"/>
          <w:szCs w:val="24"/>
          <w:shd w:val="clear" w:color="auto" w:fill="FFFFFF"/>
        </w:rPr>
        <w:t>mg GAE</w:t>
      </w:r>
      <w:r w:rsidRPr="00DE06A0">
        <w:rPr>
          <w:rFonts w:ascii="Times New Roman" w:eastAsia="AdvGulliv-R" w:hAnsi="Times New Roman"/>
          <w:sz w:val="24"/>
          <w:szCs w:val="24"/>
        </w:rPr>
        <w:t xml:space="preserve"> g</w:t>
      </w:r>
      <w:r w:rsidRPr="00DE06A0">
        <w:rPr>
          <w:rFonts w:ascii="Times New Roman" w:hAnsi="Times New Roman"/>
          <w:sz w:val="24"/>
          <w:szCs w:val="24"/>
          <w:vertAlign w:val="superscript"/>
        </w:rPr>
        <w:t xml:space="preserve">-1 </w:t>
      </w:r>
      <w:r w:rsidRPr="00DE06A0">
        <w:rPr>
          <w:rFonts w:ascii="Times New Roman" w:hAnsi="Times New Roman"/>
          <w:sz w:val="24"/>
          <w:szCs w:val="24"/>
        </w:rPr>
        <w:t>dw</w:t>
      </w:r>
      <w:r w:rsidRPr="00DE06A0">
        <w:rPr>
          <w:rFonts w:ascii="Times New Roman" w:hAnsi="Times New Roman"/>
          <w:color w:val="000000"/>
          <w:sz w:val="24"/>
          <w:szCs w:val="24"/>
          <w:shd w:val="clear" w:color="auto" w:fill="FFFFFF"/>
        </w:rPr>
        <w:t>)</w:t>
      </w:r>
      <w:r w:rsidRPr="00DE06A0">
        <w:rPr>
          <w:rFonts w:ascii="Times New Roman" w:hAnsi="Times New Roman"/>
          <w:color w:val="000000"/>
          <w:sz w:val="24"/>
          <w:szCs w:val="24"/>
        </w:rPr>
        <w:t xml:space="preserve">. </w:t>
      </w:r>
      <w:r w:rsidRPr="00DE06A0">
        <w:rPr>
          <w:rFonts w:ascii="Times New Roman" w:hAnsi="Times New Roman"/>
          <w:sz w:val="24"/>
          <w:szCs w:val="24"/>
        </w:rPr>
        <w:t xml:space="preserve">The result of the total reducing power assay </w:t>
      </w:r>
      <w:r w:rsidRPr="00DE06A0">
        <w:rPr>
          <w:rFonts w:ascii="Times New Roman" w:eastAsia="TimesNewRoman" w:hAnsi="Times New Roman"/>
          <w:sz w:val="24"/>
          <w:szCs w:val="24"/>
        </w:rPr>
        <w:t xml:space="preserve">(TRP) was </w:t>
      </w:r>
      <w:r w:rsidRPr="00DE06A0">
        <w:rPr>
          <w:rFonts w:ascii="Times New Roman" w:hAnsi="Times New Roman"/>
          <w:sz w:val="24"/>
          <w:szCs w:val="24"/>
        </w:rPr>
        <w:t>expressed as mg ascorbic acid equivalents per g of dry extract weight (mg AAE g</w:t>
      </w:r>
      <w:r w:rsidRPr="00DE06A0">
        <w:rPr>
          <w:rFonts w:ascii="Times New Roman" w:hAnsi="Times New Roman"/>
          <w:sz w:val="24"/>
          <w:szCs w:val="24"/>
          <w:vertAlign w:val="superscript"/>
        </w:rPr>
        <w:t>-1</w:t>
      </w:r>
      <w:r w:rsidRPr="00DE06A0">
        <w:rPr>
          <w:rFonts w:ascii="Times New Roman" w:hAnsi="Times New Roman"/>
          <w:sz w:val="24"/>
          <w:szCs w:val="24"/>
        </w:rPr>
        <w:t xml:space="preserve"> dw) while the result obtained by CUPRAC method </w:t>
      </w:r>
      <w:r w:rsidRPr="00DE06A0">
        <w:rPr>
          <w:rFonts w:ascii="Times New Roman" w:eastAsia="TimesNewRoman" w:hAnsi="Times New Roman"/>
          <w:sz w:val="24"/>
          <w:szCs w:val="24"/>
        </w:rPr>
        <w:t xml:space="preserve">was </w:t>
      </w:r>
      <w:r w:rsidRPr="00DE06A0">
        <w:rPr>
          <w:rFonts w:ascii="Times New Roman" w:hAnsi="Times New Roman"/>
          <w:sz w:val="24"/>
          <w:szCs w:val="24"/>
        </w:rPr>
        <w:t>expressed as mg Trolox equivalents per g of dry extract weight (mg TE g</w:t>
      </w:r>
      <w:r w:rsidRPr="00DE06A0">
        <w:rPr>
          <w:rFonts w:ascii="Times New Roman" w:hAnsi="Times New Roman"/>
          <w:sz w:val="24"/>
          <w:szCs w:val="24"/>
          <w:vertAlign w:val="superscript"/>
        </w:rPr>
        <w:t>-1</w:t>
      </w:r>
      <w:r w:rsidRPr="00DE06A0">
        <w:rPr>
          <w:rFonts w:ascii="Times New Roman" w:hAnsi="Times New Roman"/>
          <w:sz w:val="24"/>
          <w:szCs w:val="24"/>
        </w:rPr>
        <w:t xml:space="preserve"> dw) The abilities of the extract to inhibit DPPH and ABTS radical-cations were expressed as percentage (%).</w:t>
      </w:r>
    </w:p>
    <w:p w:rsidR="00CD24B7" w:rsidRPr="00DE06A0" w:rsidRDefault="00CD24B7" w:rsidP="00CD24B7">
      <w:pPr>
        <w:spacing w:after="0" w:line="360" w:lineRule="auto"/>
        <w:jc w:val="both"/>
        <w:rPr>
          <w:rFonts w:ascii="Times New Roman" w:eastAsia="Times New Roman" w:hAnsi="Times New Roman"/>
          <w:sz w:val="24"/>
          <w:szCs w:val="24"/>
        </w:rPr>
      </w:pPr>
    </w:p>
    <w:p w:rsidR="00CD24B7" w:rsidRPr="00DE06A0" w:rsidRDefault="00CD24B7" w:rsidP="00CD24B7">
      <w:pPr>
        <w:spacing w:after="0" w:line="360" w:lineRule="auto"/>
        <w:jc w:val="both"/>
        <w:rPr>
          <w:rFonts w:ascii="Times New Roman" w:hAnsi="Times New Roman"/>
          <w:i/>
          <w:sz w:val="24"/>
          <w:szCs w:val="24"/>
        </w:rPr>
      </w:pPr>
      <w:r w:rsidRPr="00DE06A0">
        <w:rPr>
          <w:rFonts w:ascii="Times New Roman" w:eastAsia="Times New Roman" w:hAnsi="Times New Roman"/>
          <w:i/>
          <w:color w:val="000000"/>
          <w:sz w:val="24"/>
          <w:szCs w:val="24"/>
        </w:rPr>
        <w:t>C</w:t>
      </w:r>
      <w:r w:rsidRPr="00DE06A0">
        <w:rPr>
          <w:rFonts w:ascii="Times New Roman" w:hAnsi="Times New Roman"/>
          <w:i/>
          <w:sz w:val="24"/>
          <w:szCs w:val="24"/>
        </w:rPr>
        <w:t>holinesterase activity</w:t>
      </w:r>
    </w:p>
    <w:p w:rsidR="00CD24B7" w:rsidRPr="00921C62" w:rsidRDefault="00CD24B7" w:rsidP="00CD24B7">
      <w:pPr>
        <w:pStyle w:val="ListParagraph"/>
        <w:spacing w:after="0" w:line="360" w:lineRule="auto"/>
        <w:ind w:left="0"/>
        <w:contextualSpacing w:val="0"/>
        <w:jc w:val="both"/>
        <w:rPr>
          <w:rFonts w:ascii="Times New Roman" w:hAnsi="Times New Roman"/>
          <w:i/>
          <w:sz w:val="24"/>
          <w:szCs w:val="24"/>
          <w:vertAlign w:val="superscript"/>
        </w:rPr>
      </w:pPr>
      <w:r w:rsidRPr="00DE06A0">
        <w:rPr>
          <w:rStyle w:val="shorttext"/>
          <w:rFonts w:ascii="Times New Roman" w:hAnsi="Times New Roman"/>
          <w:sz w:val="24"/>
          <w:szCs w:val="24"/>
        </w:rPr>
        <w:t>Assessment</w:t>
      </w:r>
      <w:r w:rsidRPr="00DE06A0">
        <w:rPr>
          <w:rFonts w:ascii="Times New Roman" w:eastAsia="Times New Roman" w:hAnsi="Times New Roman"/>
          <w:color w:val="000000"/>
          <w:sz w:val="24"/>
          <w:szCs w:val="24"/>
        </w:rPr>
        <w:t xml:space="preserve"> of extract effect on cholinesterase activity was performed as previously described.</w:t>
      </w:r>
      <w:r>
        <w:rPr>
          <w:rFonts w:ascii="Times New Roman" w:eastAsia="Times New Roman" w:hAnsi="Times New Roman"/>
          <w:color w:val="000000"/>
          <w:sz w:val="24"/>
          <w:szCs w:val="24"/>
          <w:vertAlign w:val="superscript"/>
        </w:rPr>
        <w:t>1,7</w:t>
      </w:r>
    </w:p>
    <w:p w:rsidR="00CD24B7" w:rsidRPr="00DE06A0" w:rsidRDefault="00CD24B7" w:rsidP="00CD24B7">
      <w:pPr>
        <w:spacing w:after="0" w:line="360" w:lineRule="auto"/>
        <w:ind w:firstLine="288"/>
        <w:jc w:val="both"/>
        <w:rPr>
          <w:rFonts w:ascii="Times New Roman" w:eastAsia="Times New Roman" w:hAnsi="Times New Roman"/>
          <w:b/>
          <w:i/>
          <w:color w:val="000000"/>
          <w:sz w:val="24"/>
          <w:szCs w:val="24"/>
        </w:rPr>
      </w:pPr>
    </w:p>
    <w:p w:rsidR="00CD24B7" w:rsidRPr="00DE06A0" w:rsidRDefault="00CD24B7" w:rsidP="00CD24B7">
      <w:pPr>
        <w:spacing w:after="0" w:line="360" w:lineRule="auto"/>
        <w:jc w:val="both"/>
        <w:rPr>
          <w:rFonts w:ascii="Times New Roman" w:hAnsi="Times New Roman"/>
          <w:i/>
          <w:sz w:val="24"/>
          <w:szCs w:val="24"/>
        </w:rPr>
      </w:pPr>
      <w:r w:rsidRPr="00DE06A0">
        <w:rPr>
          <w:rFonts w:ascii="Times New Roman" w:eastAsia="Times New Roman" w:hAnsi="Times New Roman"/>
          <w:i/>
          <w:color w:val="000000"/>
          <w:sz w:val="24"/>
          <w:szCs w:val="24"/>
        </w:rPr>
        <w:t xml:space="preserve">Antibacterial </w:t>
      </w:r>
      <w:r w:rsidRPr="00DE06A0">
        <w:rPr>
          <w:rFonts w:ascii="Times New Roman" w:hAnsi="Times New Roman"/>
          <w:i/>
          <w:sz w:val="24"/>
          <w:szCs w:val="24"/>
        </w:rPr>
        <w:t>activity</w:t>
      </w:r>
    </w:p>
    <w:p w:rsidR="00CD24B7" w:rsidRPr="00DE06A0" w:rsidRDefault="00CD24B7" w:rsidP="00CD24B7">
      <w:pPr>
        <w:spacing w:after="0" w:line="360" w:lineRule="auto"/>
        <w:jc w:val="both"/>
        <w:rPr>
          <w:rFonts w:ascii="Times New Roman" w:hAnsi="Times New Roman"/>
          <w:sz w:val="24"/>
          <w:szCs w:val="24"/>
        </w:rPr>
      </w:pPr>
      <w:r w:rsidRPr="00DE06A0">
        <w:rPr>
          <w:rFonts w:ascii="Times New Roman" w:eastAsia="Times New Roman" w:hAnsi="Times New Roman"/>
          <w:color w:val="000000"/>
          <w:sz w:val="24"/>
          <w:szCs w:val="24"/>
        </w:rPr>
        <w:lastRenderedPageBreak/>
        <w:t>Antibacterial</w:t>
      </w:r>
      <w:r w:rsidRPr="00DE06A0">
        <w:rPr>
          <w:rFonts w:ascii="Times New Roman" w:eastAsia="Times New Roman" w:hAnsi="Times New Roman"/>
          <w:i/>
          <w:color w:val="000000"/>
          <w:sz w:val="24"/>
          <w:szCs w:val="24"/>
        </w:rPr>
        <w:t xml:space="preserve"> </w:t>
      </w:r>
      <w:r w:rsidRPr="00DE06A0">
        <w:rPr>
          <w:rFonts w:ascii="Times New Roman" w:hAnsi="Times New Roman"/>
          <w:sz w:val="24"/>
          <w:szCs w:val="24"/>
        </w:rPr>
        <w:t xml:space="preserve">activity against two </w:t>
      </w:r>
      <w:r w:rsidRPr="00DE06A0">
        <w:rPr>
          <w:rFonts w:ascii="Times New Roman" w:hAnsi="Times New Roman"/>
          <w:i/>
          <w:sz w:val="24"/>
          <w:szCs w:val="24"/>
        </w:rPr>
        <w:t>Gram-positive</w:t>
      </w:r>
      <w:r w:rsidRPr="00DE06A0">
        <w:rPr>
          <w:rFonts w:ascii="Times New Roman" w:hAnsi="Times New Roman"/>
          <w:i/>
          <w:iCs/>
          <w:sz w:val="24"/>
          <w:szCs w:val="24"/>
        </w:rPr>
        <w:t xml:space="preserve"> (Bacillus spizizenii </w:t>
      </w:r>
      <w:r w:rsidRPr="00DE06A0">
        <w:rPr>
          <w:rFonts w:ascii="Times New Roman" w:hAnsi="Times New Roman"/>
          <w:sz w:val="24"/>
          <w:szCs w:val="24"/>
        </w:rPr>
        <w:t xml:space="preserve">ATCC 6633 and </w:t>
      </w:r>
      <w:r w:rsidRPr="00DE06A0">
        <w:rPr>
          <w:rFonts w:ascii="Times New Roman" w:hAnsi="Times New Roman"/>
          <w:i/>
          <w:iCs/>
          <w:sz w:val="24"/>
          <w:szCs w:val="24"/>
        </w:rPr>
        <w:t xml:space="preserve">Staphylococcus aureus </w:t>
      </w:r>
      <w:r w:rsidRPr="00DE06A0">
        <w:rPr>
          <w:rFonts w:ascii="Times New Roman" w:hAnsi="Times New Roman"/>
          <w:sz w:val="24"/>
          <w:szCs w:val="24"/>
        </w:rPr>
        <w:t xml:space="preserve">ATCC 6538) and three </w:t>
      </w:r>
      <w:r w:rsidRPr="00DE06A0">
        <w:rPr>
          <w:rFonts w:ascii="Times New Roman" w:hAnsi="Times New Roman"/>
          <w:i/>
          <w:sz w:val="24"/>
          <w:szCs w:val="24"/>
        </w:rPr>
        <w:t>Gram-negative</w:t>
      </w:r>
      <w:r w:rsidRPr="00DE06A0">
        <w:rPr>
          <w:rFonts w:ascii="Times New Roman" w:hAnsi="Times New Roman"/>
          <w:sz w:val="24"/>
          <w:szCs w:val="24"/>
        </w:rPr>
        <w:t xml:space="preserve"> bacteria (</w:t>
      </w:r>
      <w:r w:rsidRPr="00DE06A0">
        <w:rPr>
          <w:rFonts w:ascii="Times New Roman" w:hAnsi="Times New Roman"/>
          <w:i/>
          <w:iCs/>
          <w:sz w:val="24"/>
          <w:szCs w:val="24"/>
        </w:rPr>
        <w:t xml:space="preserve">Escherichia coli </w:t>
      </w:r>
      <w:r w:rsidRPr="00DE06A0">
        <w:rPr>
          <w:rFonts w:ascii="Times New Roman" w:hAnsi="Times New Roman"/>
          <w:sz w:val="24"/>
          <w:szCs w:val="24"/>
        </w:rPr>
        <w:t xml:space="preserve">ATCC 8739, </w:t>
      </w:r>
      <w:r w:rsidRPr="00DE06A0">
        <w:rPr>
          <w:rFonts w:ascii="Times New Roman" w:hAnsi="Times New Roman"/>
          <w:i/>
          <w:iCs/>
          <w:sz w:val="24"/>
          <w:szCs w:val="24"/>
        </w:rPr>
        <w:t xml:space="preserve">Pseudomonas aeruginosa </w:t>
      </w:r>
      <w:r w:rsidRPr="00DE06A0">
        <w:rPr>
          <w:rFonts w:ascii="Times New Roman" w:hAnsi="Times New Roman"/>
          <w:sz w:val="24"/>
          <w:szCs w:val="24"/>
        </w:rPr>
        <w:t xml:space="preserve">ATCC 9027 and </w:t>
      </w:r>
      <w:r w:rsidRPr="00DE06A0">
        <w:rPr>
          <w:rFonts w:ascii="Times New Roman" w:hAnsi="Times New Roman"/>
          <w:i/>
          <w:iCs/>
          <w:sz w:val="24"/>
          <w:szCs w:val="24"/>
        </w:rPr>
        <w:t xml:space="preserve">Salmonella abony </w:t>
      </w:r>
      <w:r w:rsidRPr="00DE06A0">
        <w:rPr>
          <w:rFonts w:ascii="Times New Roman" w:hAnsi="Times New Roman"/>
          <w:sz w:val="24"/>
          <w:szCs w:val="24"/>
        </w:rPr>
        <w:t>NCTC 6017) was examined according to the NCCLS.</w:t>
      </w:r>
      <w:r>
        <w:rPr>
          <w:rFonts w:ascii="Times New Roman" w:hAnsi="Times New Roman"/>
          <w:sz w:val="24"/>
          <w:szCs w:val="24"/>
          <w:vertAlign w:val="superscript"/>
        </w:rPr>
        <w:t>8</w:t>
      </w:r>
      <w:r w:rsidRPr="00DE06A0">
        <w:rPr>
          <w:rFonts w:ascii="Times New Roman" w:hAnsi="Times New Roman"/>
          <w:sz w:val="24"/>
          <w:szCs w:val="24"/>
        </w:rPr>
        <w:t xml:space="preserve"> Experimental procedu</w:t>
      </w:r>
      <w:r>
        <w:rPr>
          <w:rFonts w:ascii="Times New Roman" w:hAnsi="Times New Roman"/>
          <w:sz w:val="24"/>
          <w:szCs w:val="24"/>
        </w:rPr>
        <w:t>re was as previously described</w:t>
      </w:r>
      <w:r w:rsidRPr="00DE06A0">
        <w:rPr>
          <w:rFonts w:ascii="Times New Roman" w:hAnsi="Times New Roman"/>
          <w:sz w:val="24"/>
          <w:szCs w:val="24"/>
        </w:rPr>
        <w:t>.</w:t>
      </w:r>
      <w:r w:rsidRPr="00921C62">
        <w:rPr>
          <w:rFonts w:ascii="Times New Roman" w:hAnsi="Times New Roman"/>
          <w:sz w:val="24"/>
          <w:szCs w:val="24"/>
          <w:vertAlign w:val="superscript"/>
        </w:rPr>
        <w:t>1</w:t>
      </w:r>
    </w:p>
    <w:p w:rsidR="00CD24B7" w:rsidRPr="00DE06A0" w:rsidRDefault="00CD24B7" w:rsidP="00CD24B7">
      <w:pPr>
        <w:spacing w:after="0" w:line="360" w:lineRule="auto"/>
        <w:jc w:val="both"/>
        <w:rPr>
          <w:rFonts w:ascii="Times New Roman" w:hAnsi="Times New Roman"/>
          <w:sz w:val="24"/>
          <w:szCs w:val="24"/>
        </w:rPr>
      </w:pPr>
    </w:p>
    <w:p w:rsidR="00CD24B7" w:rsidRPr="00DE06A0" w:rsidRDefault="00CD24B7" w:rsidP="00CD24B7">
      <w:pPr>
        <w:spacing w:after="0" w:line="360" w:lineRule="auto"/>
        <w:jc w:val="both"/>
        <w:rPr>
          <w:rFonts w:ascii="Times New Roman" w:hAnsi="Times New Roman"/>
          <w:sz w:val="24"/>
          <w:szCs w:val="24"/>
        </w:rPr>
      </w:pPr>
      <w:r w:rsidRPr="00DE06A0">
        <w:rPr>
          <w:rFonts w:ascii="Times New Roman" w:hAnsi="Times New Roman"/>
          <w:sz w:val="24"/>
          <w:szCs w:val="24"/>
        </w:rPr>
        <w:t xml:space="preserve">Activity concentrations of </w:t>
      </w:r>
      <w:r w:rsidRPr="00DE06A0">
        <w:rPr>
          <w:rFonts w:ascii="Times New Roman" w:hAnsi="Times New Roman"/>
          <w:sz w:val="24"/>
          <w:szCs w:val="24"/>
          <w:vertAlign w:val="superscript"/>
        </w:rPr>
        <w:t>40</w:t>
      </w:r>
      <w:r w:rsidRPr="00DE06A0">
        <w:rPr>
          <w:rFonts w:ascii="Times New Roman" w:hAnsi="Times New Roman"/>
          <w:sz w:val="24"/>
          <w:szCs w:val="24"/>
        </w:rPr>
        <w:t xml:space="preserve">K, </w:t>
      </w:r>
      <w:r w:rsidRPr="00DE06A0">
        <w:rPr>
          <w:rFonts w:ascii="Times New Roman" w:hAnsi="Times New Roman"/>
          <w:sz w:val="24"/>
          <w:szCs w:val="24"/>
          <w:vertAlign w:val="superscript"/>
        </w:rPr>
        <w:t>137</w:t>
      </w:r>
      <w:r w:rsidRPr="00DE06A0">
        <w:rPr>
          <w:rFonts w:ascii="Times New Roman" w:hAnsi="Times New Roman"/>
          <w:sz w:val="24"/>
          <w:szCs w:val="24"/>
        </w:rPr>
        <w:t>Cs,</w:t>
      </w:r>
      <w:r w:rsidR="000856BC">
        <w:rPr>
          <w:rFonts w:ascii="Times New Roman" w:hAnsi="Times New Roman"/>
          <w:sz w:val="24"/>
          <w:szCs w:val="24"/>
        </w:rPr>
        <w:t xml:space="preserve"> </w:t>
      </w:r>
      <w:bookmarkStart w:id="0" w:name="_GoBack"/>
      <w:bookmarkEnd w:id="0"/>
      <w:r w:rsidRPr="00DE06A0">
        <w:rPr>
          <w:rFonts w:ascii="Times New Roman" w:hAnsi="Times New Roman"/>
          <w:sz w:val="24"/>
          <w:szCs w:val="24"/>
          <w:vertAlign w:val="superscript"/>
        </w:rPr>
        <w:t>226</w:t>
      </w:r>
      <w:r w:rsidRPr="00DE06A0">
        <w:rPr>
          <w:rFonts w:ascii="Times New Roman" w:hAnsi="Times New Roman"/>
          <w:sz w:val="24"/>
          <w:szCs w:val="24"/>
        </w:rPr>
        <w:t xml:space="preserve">Ra and </w:t>
      </w:r>
      <w:r w:rsidRPr="00DE06A0">
        <w:rPr>
          <w:rFonts w:ascii="Times New Roman" w:hAnsi="Times New Roman"/>
          <w:sz w:val="24"/>
          <w:szCs w:val="24"/>
          <w:vertAlign w:val="superscript"/>
        </w:rPr>
        <w:t>232</w:t>
      </w:r>
      <w:r w:rsidRPr="00DE06A0">
        <w:rPr>
          <w:rFonts w:ascii="Times New Roman" w:hAnsi="Times New Roman"/>
          <w:sz w:val="24"/>
          <w:szCs w:val="24"/>
        </w:rPr>
        <w:t>Th</w:t>
      </w:r>
    </w:p>
    <w:p w:rsidR="00CD24B7" w:rsidRPr="00DE06A0" w:rsidRDefault="00CD24B7" w:rsidP="00CD24B7">
      <w:pPr>
        <w:spacing w:after="0" w:line="360" w:lineRule="auto"/>
        <w:jc w:val="both"/>
        <w:rPr>
          <w:rFonts w:ascii="Times New Roman" w:hAnsi="Times New Roman"/>
          <w:i/>
          <w:sz w:val="24"/>
          <w:szCs w:val="24"/>
        </w:rPr>
      </w:pPr>
      <w:r w:rsidRPr="00DE06A0">
        <w:rPr>
          <w:rFonts w:ascii="Times New Roman" w:hAnsi="Times New Roman"/>
          <w:i/>
          <w:sz w:val="24"/>
          <w:szCs w:val="24"/>
        </w:rPr>
        <w:t>Sample preparation and counting</w:t>
      </w:r>
    </w:p>
    <w:p w:rsidR="00CD24B7" w:rsidRPr="00DE06A0" w:rsidRDefault="00CD24B7" w:rsidP="00CD24B7">
      <w:pPr>
        <w:spacing w:after="0" w:line="360" w:lineRule="auto"/>
        <w:jc w:val="both"/>
        <w:rPr>
          <w:rFonts w:ascii="Times New Roman" w:hAnsi="Times New Roman"/>
          <w:sz w:val="24"/>
          <w:szCs w:val="24"/>
        </w:rPr>
      </w:pPr>
      <w:r w:rsidRPr="00DE06A0">
        <w:rPr>
          <w:rFonts w:ascii="Times New Roman" w:hAnsi="Times New Roman"/>
          <w:sz w:val="24"/>
          <w:szCs w:val="24"/>
        </w:rPr>
        <w:t>The homogenized lichens samples were dried in the oven at the temperature of 105ºC until constant weight, placed in the plastic Marinelli beakers, sealed and left for 4 weeks to reach radioactive equilibrium.</w:t>
      </w:r>
      <w:r>
        <w:rPr>
          <w:rFonts w:ascii="Times New Roman" w:hAnsi="Times New Roman"/>
          <w:sz w:val="24"/>
          <w:szCs w:val="24"/>
          <w:vertAlign w:val="superscript"/>
        </w:rPr>
        <w:t>9</w:t>
      </w:r>
      <w:r w:rsidRPr="00DE06A0">
        <w:rPr>
          <w:rFonts w:ascii="Times New Roman" w:hAnsi="Times New Roman"/>
          <w:sz w:val="24"/>
          <w:szCs w:val="24"/>
        </w:rPr>
        <w:t xml:space="preserve"> Each prepared sample was put into the HPGe detector and measured for 86000 s. Gamma background was determined prior to the sample measurement by measuring an empty Marinelli baker under identical measurement conditions. The counting time for</w:t>
      </w:r>
      <w:r w:rsidR="000856BC">
        <w:rPr>
          <w:rFonts w:ascii="Times New Roman" w:hAnsi="Times New Roman"/>
          <w:sz w:val="24"/>
          <w:szCs w:val="24"/>
        </w:rPr>
        <w:t xml:space="preserve"> background measurement was 240</w:t>
      </w:r>
      <w:r w:rsidRPr="00DE06A0">
        <w:rPr>
          <w:rFonts w:ascii="Times New Roman" w:hAnsi="Times New Roman"/>
          <w:sz w:val="24"/>
          <w:szCs w:val="24"/>
        </w:rPr>
        <w:t>000s. It has been later subtracted from the measured gamma spectra of each sample.</w:t>
      </w:r>
    </w:p>
    <w:p w:rsidR="00CD24B7" w:rsidRPr="00DE06A0" w:rsidRDefault="00CD24B7" w:rsidP="00CD24B7">
      <w:pPr>
        <w:spacing w:after="0" w:line="360" w:lineRule="auto"/>
        <w:jc w:val="both"/>
        <w:rPr>
          <w:rFonts w:ascii="Times New Roman" w:hAnsi="Times New Roman"/>
          <w:sz w:val="24"/>
          <w:szCs w:val="24"/>
        </w:rPr>
      </w:pPr>
    </w:p>
    <w:p w:rsidR="00CD24B7" w:rsidRPr="00DE06A0" w:rsidRDefault="00CD24B7" w:rsidP="00CD24B7">
      <w:pPr>
        <w:spacing w:after="0" w:line="360" w:lineRule="auto"/>
        <w:jc w:val="both"/>
        <w:rPr>
          <w:rFonts w:ascii="Times New Roman" w:hAnsi="Times New Roman"/>
          <w:i/>
          <w:sz w:val="24"/>
          <w:szCs w:val="24"/>
        </w:rPr>
      </w:pPr>
      <w:r w:rsidRPr="00DE06A0">
        <w:rPr>
          <w:rFonts w:ascii="Times New Roman" w:hAnsi="Times New Roman"/>
          <w:i/>
          <w:sz w:val="24"/>
          <w:szCs w:val="24"/>
        </w:rPr>
        <w:t>Activity concentration determination</w:t>
      </w:r>
    </w:p>
    <w:p w:rsidR="00CD24B7" w:rsidRPr="00DE06A0" w:rsidRDefault="00CD24B7" w:rsidP="00CD24B7">
      <w:pPr>
        <w:spacing w:after="0" w:line="360" w:lineRule="auto"/>
        <w:jc w:val="both"/>
        <w:rPr>
          <w:rFonts w:ascii="Times New Roman" w:hAnsi="Times New Roman"/>
          <w:sz w:val="24"/>
          <w:szCs w:val="24"/>
        </w:rPr>
      </w:pPr>
      <w:r w:rsidRPr="00DE06A0">
        <w:rPr>
          <w:rFonts w:ascii="Times New Roman" w:hAnsi="Times New Roman"/>
          <w:sz w:val="24"/>
          <w:szCs w:val="24"/>
        </w:rPr>
        <w:t xml:space="preserve">Activity measurement of the samples was done using a high-resolution coaxial semiconductor detector with high-purity germanium crystal </w:t>
      </w:r>
      <w:r w:rsidRPr="00DE06A0">
        <w:rPr>
          <w:rFonts w:ascii="Times New Roman" w:hAnsi="Times New Roman"/>
          <w:i/>
          <w:sz w:val="24"/>
          <w:szCs w:val="24"/>
        </w:rPr>
        <w:t>HPGe ORTEC GEM 50</w:t>
      </w:r>
      <w:r w:rsidRPr="00DE06A0">
        <w:rPr>
          <w:rFonts w:ascii="Times New Roman" w:hAnsi="Times New Roman"/>
          <w:sz w:val="24"/>
          <w:szCs w:val="24"/>
        </w:rPr>
        <w:t>, with 50% relative efficiency at 1332 keV. The detector was shielded by lead in order to achieve a background level as low as possible. Calibration of the energy and efﬁciency calibration was done before the measurement. The calibration source used was a commercially available gamma standard, with mixed radionuclides-type MB</w:t>
      </w:r>
      <w:r w:rsidR="00025A95">
        <w:rPr>
          <w:rFonts w:ascii="Times New Roman" w:hAnsi="Times New Roman"/>
          <w:sz w:val="24"/>
          <w:szCs w:val="24"/>
        </w:rPr>
        <w:t>SS 2 in Marinelli geometry of 0.</w:t>
      </w:r>
      <w:r w:rsidRPr="00DE06A0">
        <w:rPr>
          <w:rFonts w:ascii="Times New Roman" w:hAnsi="Times New Roman"/>
          <w:sz w:val="24"/>
          <w:szCs w:val="24"/>
        </w:rPr>
        <w:t xml:space="preserve">5 l, developed by the </w:t>
      </w:r>
      <w:r w:rsidRPr="00DE06A0">
        <w:rPr>
          <w:rFonts w:ascii="Times New Roman" w:hAnsi="Times New Roman"/>
          <w:i/>
          <w:sz w:val="24"/>
          <w:szCs w:val="24"/>
        </w:rPr>
        <w:t>Inspectorate for Ionizing Radiation Czech Metrological Institute</w:t>
      </w:r>
      <w:r w:rsidRPr="00DE06A0">
        <w:rPr>
          <w:rFonts w:ascii="Times New Roman" w:hAnsi="Times New Roman"/>
          <w:sz w:val="24"/>
          <w:szCs w:val="24"/>
        </w:rPr>
        <w:t xml:space="preserve">, with the isotopes </w:t>
      </w:r>
      <w:r w:rsidRPr="00DE06A0">
        <w:rPr>
          <w:rFonts w:ascii="Times New Roman" w:hAnsi="Times New Roman"/>
          <w:sz w:val="24"/>
          <w:szCs w:val="24"/>
          <w:vertAlign w:val="superscript"/>
        </w:rPr>
        <w:t>241</w:t>
      </w:r>
      <w:r w:rsidRPr="00DE06A0">
        <w:rPr>
          <w:rFonts w:ascii="Times New Roman" w:hAnsi="Times New Roman"/>
          <w:sz w:val="24"/>
          <w:szCs w:val="24"/>
        </w:rPr>
        <w:t xml:space="preserve">Am, </w:t>
      </w:r>
      <w:r w:rsidRPr="00DE06A0">
        <w:rPr>
          <w:rFonts w:ascii="Times New Roman" w:hAnsi="Times New Roman"/>
          <w:sz w:val="24"/>
          <w:szCs w:val="24"/>
          <w:vertAlign w:val="superscript"/>
        </w:rPr>
        <w:t>109</w:t>
      </w:r>
      <w:r w:rsidRPr="00DE06A0">
        <w:rPr>
          <w:rFonts w:ascii="Times New Roman" w:hAnsi="Times New Roman"/>
          <w:sz w:val="24"/>
          <w:szCs w:val="24"/>
        </w:rPr>
        <w:t xml:space="preserve">Cd, </w:t>
      </w:r>
      <w:r w:rsidRPr="00DE06A0">
        <w:rPr>
          <w:rFonts w:ascii="Times New Roman" w:hAnsi="Times New Roman"/>
          <w:sz w:val="24"/>
          <w:szCs w:val="24"/>
          <w:vertAlign w:val="superscript"/>
        </w:rPr>
        <w:t>57</w:t>
      </w:r>
      <w:r w:rsidRPr="00DE06A0">
        <w:rPr>
          <w:rFonts w:ascii="Times New Roman" w:hAnsi="Times New Roman"/>
          <w:sz w:val="24"/>
          <w:szCs w:val="24"/>
        </w:rPr>
        <w:t xml:space="preserve">Co, </w:t>
      </w:r>
      <w:r w:rsidRPr="00DE06A0">
        <w:rPr>
          <w:rFonts w:ascii="Times New Roman" w:hAnsi="Times New Roman"/>
          <w:sz w:val="24"/>
          <w:szCs w:val="24"/>
          <w:vertAlign w:val="superscript"/>
        </w:rPr>
        <w:t>139</w:t>
      </w:r>
      <w:r w:rsidRPr="00DE06A0">
        <w:rPr>
          <w:rFonts w:ascii="Times New Roman" w:hAnsi="Times New Roman"/>
          <w:sz w:val="24"/>
          <w:szCs w:val="24"/>
        </w:rPr>
        <w:t xml:space="preserve">Ce, </w:t>
      </w:r>
      <w:r w:rsidRPr="00DE06A0">
        <w:rPr>
          <w:rFonts w:ascii="Times New Roman" w:hAnsi="Times New Roman"/>
          <w:sz w:val="24"/>
          <w:szCs w:val="24"/>
          <w:vertAlign w:val="superscript"/>
        </w:rPr>
        <w:t>113</w:t>
      </w:r>
      <w:r w:rsidRPr="00DE06A0">
        <w:rPr>
          <w:rFonts w:ascii="Times New Roman" w:hAnsi="Times New Roman"/>
          <w:sz w:val="24"/>
          <w:szCs w:val="24"/>
        </w:rPr>
        <w:t xml:space="preserve">Sn, </w:t>
      </w:r>
      <w:r w:rsidRPr="00DE06A0">
        <w:rPr>
          <w:rFonts w:ascii="Times New Roman" w:hAnsi="Times New Roman"/>
          <w:sz w:val="24"/>
          <w:szCs w:val="24"/>
          <w:vertAlign w:val="superscript"/>
        </w:rPr>
        <w:t>85</w:t>
      </w:r>
      <w:r w:rsidRPr="00DE06A0">
        <w:rPr>
          <w:rFonts w:ascii="Times New Roman" w:hAnsi="Times New Roman"/>
          <w:sz w:val="24"/>
          <w:szCs w:val="24"/>
        </w:rPr>
        <w:t xml:space="preserve">Sr, </w:t>
      </w:r>
      <w:r w:rsidRPr="00DE06A0">
        <w:rPr>
          <w:rFonts w:ascii="Times New Roman" w:hAnsi="Times New Roman"/>
          <w:sz w:val="24"/>
          <w:szCs w:val="24"/>
          <w:vertAlign w:val="superscript"/>
        </w:rPr>
        <w:t>137</w:t>
      </w:r>
      <w:r w:rsidRPr="00DE06A0">
        <w:rPr>
          <w:rFonts w:ascii="Times New Roman" w:hAnsi="Times New Roman"/>
          <w:sz w:val="24"/>
          <w:szCs w:val="24"/>
        </w:rPr>
        <w:t xml:space="preserve">Cs, </w:t>
      </w:r>
      <w:r w:rsidRPr="00DE06A0">
        <w:rPr>
          <w:rFonts w:ascii="Times New Roman" w:hAnsi="Times New Roman"/>
          <w:sz w:val="24"/>
          <w:szCs w:val="24"/>
          <w:vertAlign w:val="superscript"/>
        </w:rPr>
        <w:t>88</w:t>
      </w:r>
      <w:r w:rsidRPr="00DE06A0">
        <w:rPr>
          <w:rFonts w:ascii="Times New Roman" w:hAnsi="Times New Roman"/>
          <w:sz w:val="24"/>
          <w:szCs w:val="24"/>
        </w:rPr>
        <w:t xml:space="preserve">Y, </w:t>
      </w:r>
      <w:r w:rsidRPr="00DE06A0">
        <w:rPr>
          <w:rFonts w:ascii="Times New Roman" w:hAnsi="Times New Roman"/>
          <w:sz w:val="24"/>
          <w:szCs w:val="24"/>
          <w:vertAlign w:val="superscript"/>
        </w:rPr>
        <w:t>203</w:t>
      </w:r>
      <w:r w:rsidRPr="00DE06A0">
        <w:rPr>
          <w:rFonts w:ascii="Times New Roman" w:hAnsi="Times New Roman"/>
          <w:sz w:val="24"/>
          <w:szCs w:val="24"/>
        </w:rPr>
        <w:t xml:space="preserve">Hg, and </w:t>
      </w:r>
      <w:r w:rsidRPr="00DE06A0">
        <w:rPr>
          <w:rFonts w:ascii="Times New Roman" w:hAnsi="Times New Roman"/>
          <w:sz w:val="24"/>
          <w:szCs w:val="24"/>
          <w:vertAlign w:val="superscript"/>
        </w:rPr>
        <w:t>60</w:t>
      </w:r>
      <w:r w:rsidRPr="00DE06A0">
        <w:rPr>
          <w:rFonts w:ascii="Times New Roman" w:hAnsi="Times New Roman"/>
          <w:sz w:val="24"/>
          <w:szCs w:val="24"/>
        </w:rPr>
        <w:t xml:space="preserve">Co. The energy of gamma lines of these radionuclides is very suitable for the calibration and covers the region of interest, i.e. from 30 to 3000 keV. The quality assurance of measurements was carried out by daily efﬁciency and energy calibration, repeating each sample measurement. Correction of the radioactive decay, and the background, as well as the analysis of results, were obtained using dedicated software program </w:t>
      </w:r>
      <w:r w:rsidRPr="00DE06A0">
        <w:rPr>
          <w:rFonts w:ascii="Times New Roman" w:hAnsi="Times New Roman"/>
          <w:i/>
          <w:sz w:val="24"/>
          <w:szCs w:val="24"/>
        </w:rPr>
        <w:t>ORTEC Gamma Vision-32 Model A66-B32 Version 6.01.</w:t>
      </w:r>
    </w:p>
    <w:p w:rsidR="00CD24B7" w:rsidRPr="00DE06A0" w:rsidRDefault="00CD24B7" w:rsidP="00CD24B7">
      <w:pPr>
        <w:spacing w:after="0" w:line="360" w:lineRule="auto"/>
        <w:jc w:val="both"/>
        <w:rPr>
          <w:rFonts w:ascii="Times New Roman" w:hAnsi="Times New Roman"/>
          <w:sz w:val="24"/>
          <w:szCs w:val="24"/>
        </w:rPr>
      </w:pPr>
      <w:r w:rsidRPr="00DE06A0">
        <w:rPr>
          <w:rFonts w:ascii="Times New Roman" w:hAnsi="Times New Roman"/>
          <w:sz w:val="24"/>
          <w:szCs w:val="24"/>
        </w:rPr>
        <w:t xml:space="preserve">The activities of </w:t>
      </w:r>
      <w:r w:rsidRPr="00DE06A0">
        <w:rPr>
          <w:rFonts w:ascii="Times New Roman" w:hAnsi="Times New Roman"/>
          <w:sz w:val="24"/>
          <w:szCs w:val="24"/>
          <w:vertAlign w:val="superscript"/>
        </w:rPr>
        <w:t>226</w:t>
      </w:r>
      <w:r w:rsidRPr="00DE06A0">
        <w:rPr>
          <w:rFonts w:ascii="Times New Roman" w:hAnsi="Times New Roman"/>
          <w:sz w:val="24"/>
          <w:szCs w:val="24"/>
        </w:rPr>
        <w:t xml:space="preserve">Ra were determined by its decay products: </w:t>
      </w:r>
      <w:r w:rsidRPr="00DE06A0">
        <w:rPr>
          <w:rFonts w:ascii="Times New Roman" w:hAnsi="Times New Roman"/>
          <w:sz w:val="24"/>
          <w:szCs w:val="24"/>
          <w:vertAlign w:val="superscript"/>
        </w:rPr>
        <w:t>214</w:t>
      </w:r>
      <w:r w:rsidR="00025A95">
        <w:rPr>
          <w:rFonts w:ascii="Times New Roman" w:hAnsi="Times New Roman"/>
          <w:sz w:val="24"/>
          <w:szCs w:val="24"/>
        </w:rPr>
        <w:t>Pb (295.</w:t>
      </w:r>
      <w:r w:rsidRPr="00DE06A0">
        <w:rPr>
          <w:rFonts w:ascii="Times New Roman" w:hAnsi="Times New Roman"/>
          <w:sz w:val="24"/>
          <w:szCs w:val="24"/>
        </w:rPr>
        <w:t>22 keV, 351</w:t>
      </w:r>
      <w:r w:rsidR="00025A95">
        <w:rPr>
          <w:rFonts w:ascii="Times New Roman" w:hAnsi="Times New Roman"/>
          <w:sz w:val="24"/>
          <w:szCs w:val="24"/>
        </w:rPr>
        <w:t>.</w:t>
      </w:r>
      <w:r w:rsidRPr="00DE06A0">
        <w:rPr>
          <w:rFonts w:ascii="Times New Roman" w:hAnsi="Times New Roman"/>
          <w:sz w:val="24"/>
          <w:szCs w:val="24"/>
        </w:rPr>
        <w:t xml:space="preserve">93 keV) and </w:t>
      </w:r>
      <w:r w:rsidRPr="00DE06A0">
        <w:rPr>
          <w:rFonts w:ascii="Times New Roman" w:hAnsi="Times New Roman"/>
          <w:sz w:val="24"/>
          <w:szCs w:val="24"/>
          <w:vertAlign w:val="superscript"/>
        </w:rPr>
        <w:t>214</w:t>
      </w:r>
      <w:r w:rsidRPr="00DE06A0">
        <w:rPr>
          <w:rFonts w:ascii="Times New Roman" w:hAnsi="Times New Roman"/>
          <w:sz w:val="24"/>
          <w:szCs w:val="24"/>
        </w:rPr>
        <w:t>Bi (609</w:t>
      </w:r>
      <w:r w:rsidR="00025A95">
        <w:rPr>
          <w:rFonts w:ascii="Times New Roman" w:hAnsi="Times New Roman"/>
          <w:sz w:val="24"/>
          <w:szCs w:val="24"/>
        </w:rPr>
        <w:t>.</w:t>
      </w:r>
      <w:r w:rsidRPr="00DE06A0">
        <w:rPr>
          <w:rFonts w:ascii="Times New Roman" w:hAnsi="Times New Roman"/>
          <w:sz w:val="24"/>
          <w:szCs w:val="24"/>
        </w:rPr>
        <w:t>31 keV, 1120</w:t>
      </w:r>
      <w:r w:rsidR="00025A95">
        <w:rPr>
          <w:rFonts w:ascii="Times New Roman" w:hAnsi="Times New Roman"/>
          <w:sz w:val="24"/>
          <w:szCs w:val="24"/>
        </w:rPr>
        <w:t>.</w:t>
      </w:r>
      <w:r w:rsidRPr="00DE06A0">
        <w:rPr>
          <w:rFonts w:ascii="Times New Roman" w:hAnsi="Times New Roman"/>
          <w:sz w:val="24"/>
          <w:szCs w:val="24"/>
        </w:rPr>
        <w:t xml:space="preserve">29 keV). In the case of </w:t>
      </w:r>
      <w:r w:rsidRPr="00DE06A0">
        <w:rPr>
          <w:rFonts w:ascii="Times New Roman" w:hAnsi="Times New Roman"/>
          <w:sz w:val="24"/>
          <w:szCs w:val="24"/>
          <w:vertAlign w:val="superscript"/>
        </w:rPr>
        <w:t>232</w:t>
      </w:r>
      <w:r w:rsidRPr="00DE06A0">
        <w:rPr>
          <w:rFonts w:ascii="Times New Roman" w:hAnsi="Times New Roman"/>
          <w:sz w:val="24"/>
          <w:szCs w:val="24"/>
        </w:rPr>
        <w:t xml:space="preserve">Th two photopeaks of </w:t>
      </w:r>
      <w:r w:rsidRPr="00DE06A0">
        <w:rPr>
          <w:rFonts w:ascii="Times New Roman" w:hAnsi="Times New Roman"/>
          <w:sz w:val="24"/>
          <w:szCs w:val="24"/>
          <w:vertAlign w:val="superscript"/>
        </w:rPr>
        <w:t>228</w:t>
      </w:r>
      <w:r w:rsidRPr="00DE06A0">
        <w:rPr>
          <w:rFonts w:ascii="Times New Roman" w:hAnsi="Times New Roman"/>
          <w:sz w:val="24"/>
          <w:szCs w:val="24"/>
        </w:rPr>
        <w:t>Ac (911</w:t>
      </w:r>
      <w:r w:rsidR="00025A95">
        <w:rPr>
          <w:rFonts w:ascii="Times New Roman" w:hAnsi="Times New Roman"/>
          <w:sz w:val="24"/>
          <w:szCs w:val="24"/>
        </w:rPr>
        <w:t>.20 and 698.</w:t>
      </w:r>
      <w:r w:rsidRPr="00DE06A0">
        <w:rPr>
          <w:rFonts w:ascii="Times New Roman" w:hAnsi="Times New Roman"/>
          <w:sz w:val="24"/>
          <w:szCs w:val="24"/>
        </w:rPr>
        <w:t xml:space="preserve">97keV) were used. The activities of </w:t>
      </w:r>
      <w:r w:rsidRPr="00DE06A0">
        <w:rPr>
          <w:rFonts w:ascii="Times New Roman" w:hAnsi="Times New Roman"/>
          <w:sz w:val="24"/>
          <w:szCs w:val="24"/>
          <w:vertAlign w:val="superscript"/>
        </w:rPr>
        <w:t>40</w:t>
      </w:r>
      <w:r w:rsidRPr="00DE06A0">
        <w:rPr>
          <w:rFonts w:ascii="Times New Roman" w:hAnsi="Times New Roman"/>
          <w:sz w:val="24"/>
          <w:szCs w:val="24"/>
        </w:rPr>
        <w:t xml:space="preserve">K and </w:t>
      </w:r>
      <w:r w:rsidRPr="00DE06A0">
        <w:rPr>
          <w:rFonts w:ascii="Times New Roman" w:hAnsi="Times New Roman"/>
          <w:sz w:val="24"/>
          <w:szCs w:val="24"/>
          <w:vertAlign w:val="superscript"/>
        </w:rPr>
        <w:t>137</w:t>
      </w:r>
      <w:r w:rsidRPr="00DE06A0">
        <w:rPr>
          <w:rFonts w:ascii="Times New Roman" w:hAnsi="Times New Roman"/>
          <w:sz w:val="24"/>
          <w:szCs w:val="24"/>
        </w:rPr>
        <w:t>Cs were derived from the 1460</w:t>
      </w:r>
      <w:r w:rsidR="00025A95">
        <w:rPr>
          <w:rFonts w:ascii="Times New Roman" w:hAnsi="Times New Roman"/>
          <w:sz w:val="24"/>
          <w:szCs w:val="24"/>
        </w:rPr>
        <w:t>.</w:t>
      </w:r>
      <w:r w:rsidRPr="00DE06A0">
        <w:rPr>
          <w:rFonts w:ascii="Times New Roman" w:hAnsi="Times New Roman"/>
          <w:sz w:val="24"/>
          <w:szCs w:val="24"/>
        </w:rPr>
        <w:t>83 keV and 661</w:t>
      </w:r>
      <w:r w:rsidR="00025A95">
        <w:rPr>
          <w:rFonts w:ascii="Times New Roman" w:hAnsi="Times New Roman"/>
          <w:sz w:val="24"/>
          <w:szCs w:val="24"/>
        </w:rPr>
        <w:t>.</w:t>
      </w:r>
      <w:r w:rsidRPr="00DE06A0">
        <w:rPr>
          <w:rFonts w:ascii="Times New Roman" w:hAnsi="Times New Roman"/>
          <w:sz w:val="24"/>
          <w:szCs w:val="24"/>
        </w:rPr>
        <w:t>66 keV gamma lines, respectively.</w:t>
      </w:r>
    </w:p>
    <w:p w:rsidR="009D24B1" w:rsidRPr="002413B3" w:rsidRDefault="009D24B1" w:rsidP="00E75C0E">
      <w:pPr>
        <w:spacing w:after="0" w:line="240" w:lineRule="auto"/>
        <w:rPr>
          <w:rFonts w:ascii="Times New Roman" w:hAnsi="Times New Roman"/>
          <w:sz w:val="20"/>
          <w:szCs w:val="24"/>
          <w:lang w:val="en-GB"/>
        </w:rPr>
      </w:pPr>
    </w:p>
    <w:p w:rsidR="009D24B1" w:rsidRPr="00E75C0E" w:rsidRDefault="009D24B1" w:rsidP="00E75C0E">
      <w:pPr>
        <w:spacing w:after="0" w:line="240" w:lineRule="auto"/>
        <w:rPr>
          <w:rFonts w:ascii="Times New Roman" w:hAnsi="Times New Roman"/>
          <w:sz w:val="14"/>
          <w:szCs w:val="24"/>
          <w:lang w:val="en-GB"/>
        </w:rPr>
      </w:pPr>
    </w:p>
    <w:p w:rsidR="00501847" w:rsidRPr="002413B3" w:rsidRDefault="00501847" w:rsidP="00501847">
      <w:pPr>
        <w:spacing w:after="0" w:line="360" w:lineRule="auto"/>
        <w:rPr>
          <w:rFonts w:ascii="Times New Roman" w:hAnsi="Times New Roman"/>
          <w:lang w:val="en-GB"/>
        </w:rPr>
      </w:pPr>
      <w:r w:rsidRPr="002413B3">
        <w:rPr>
          <w:rFonts w:ascii="Times New Roman" w:hAnsi="Times New Roman"/>
          <w:lang w:val="en-GB"/>
        </w:rPr>
        <w:t>REFERENCES</w:t>
      </w:r>
    </w:p>
    <w:p w:rsidR="00CD24B7" w:rsidRPr="00BB7434" w:rsidRDefault="00CD24B7" w:rsidP="00CD24B7">
      <w:pPr>
        <w:pStyle w:val="ListParagraph"/>
        <w:numPr>
          <w:ilvl w:val="0"/>
          <w:numId w:val="1"/>
        </w:numPr>
        <w:spacing w:after="0" w:line="360" w:lineRule="auto"/>
        <w:rPr>
          <w:rFonts w:ascii="Times New Roman" w:hAnsi="Times New Roman"/>
          <w:sz w:val="20"/>
          <w:szCs w:val="20"/>
        </w:rPr>
      </w:pPr>
      <w:r w:rsidRPr="00BB7434">
        <w:rPr>
          <w:rFonts w:ascii="Times New Roman" w:hAnsi="Times New Roman"/>
          <w:sz w:val="20"/>
          <w:szCs w:val="20"/>
          <w:lang w:val="sl-SI"/>
        </w:rPr>
        <w:t xml:space="preserve">G. Stojanović, I. </w:t>
      </w:r>
      <w:r w:rsidRPr="00BB7434">
        <w:rPr>
          <w:rFonts w:ascii="Times New Roman" w:hAnsi="Times New Roman"/>
          <w:bCs/>
          <w:sz w:val="20"/>
          <w:szCs w:val="20"/>
        </w:rPr>
        <w:t xml:space="preserve">Zlatanović, I. Zrnzević, M. </w:t>
      </w:r>
      <w:r w:rsidRPr="00BB7434">
        <w:rPr>
          <w:rFonts w:ascii="Times New Roman" w:hAnsi="Times New Roman"/>
          <w:sz w:val="20"/>
          <w:szCs w:val="20"/>
        </w:rPr>
        <w:t xml:space="preserve">Stanković, V. Stankov Jovanović, B. Zlatković, </w:t>
      </w:r>
      <w:r w:rsidRPr="00BB7434">
        <w:rPr>
          <w:rFonts w:ascii="Times New Roman" w:hAnsi="Times New Roman"/>
          <w:i/>
          <w:sz w:val="20"/>
          <w:szCs w:val="20"/>
        </w:rPr>
        <w:t>Nat. Prod. res.</w:t>
      </w:r>
      <w:r w:rsidRPr="00BB7434">
        <w:rPr>
          <w:rFonts w:ascii="Times New Roman" w:hAnsi="Times New Roman"/>
          <w:sz w:val="20"/>
          <w:szCs w:val="20"/>
        </w:rPr>
        <w:t xml:space="preserve"> (2017) </w:t>
      </w:r>
      <w:hyperlink r:id="rId9" w:history="1">
        <w:r w:rsidRPr="00BB7434">
          <w:rPr>
            <w:rStyle w:val="Hyperlink"/>
            <w:rFonts w:ascii="Times New Roman" w:hAnsi="Times New Roman"/>
            <w:sz w:val="20"/>
            <w:szCs w:val="20"/>
          </w:rPr>
          <w:t>https://doi.org/10.1080/14786419.2017.1375926</w:t>
        </w:r>
      </w:hyperlink>
      <w:r w:rsidRPr="00BB7434">
        <w:rPr>
          <w:rFonts w:ascii="Times New Roman" w:hAnsi="Times New Roman"/>
          <w:sz w:val="20"/>
          <w:szCs w:val="20"/>
        </w:rPr>
        <w:t xml:space="preserve"> </w:t>
      </w:r>
    </w:p>
    <w:p w:rsidR="00CD24B7" w:rsidRPr="00BB7434" w:rsidRDefault="00CD24B7" w:rsidP="00CD24B7">
      <w:pPr>
        <w:pStyle w:val="ListParagraph"/>
        <w:numPr>
          <w:ilvl w:val="0"/>
          <w:numId w:val="1"/>
        </w:numPr>
        <w:spacing w:after="0" w:line="360" w:lineRule="auto"/>
        <w:rPr>
          <w:rFonts w:ascii="Times New Roman" w:hAnsi="Times New Roman"/>
          <w:bCs/>
          <w:color w:val="1F1A17"/>
          <w:sz w:val="20"/>
          <w:szCs w:val="20"/>
        </w:rPr>
      </w:pPr>
      <w:r w:rsidRPr="00BB7434">
        <w:rPr>
          <w:rFonts w:ascii="Times New Roman" w:hAnsi="Times New Roman"/>
          <w:sz w:val="20"/>
          <w:szCs w:val="20"/>
        </w:rPr>
        <w:t xml:space="preserve">I. Zrnzević, M. Stanković, V. Stankov Jovanović, V. Mitić, A. Đorđević, I. Zlatanović, G. Stojanović, </w:t>
      </w:r>
      <w:r w:rsidRPr="00BB7434">
        <w:rPr>
          <w:rFonts w:ascii="Times New Roman" w:hAnsi="Times New Roman"/>
          <w:i/>
          <w:sz w:val="20"/>
          <w:szCs w:val="20"/>
        </w:rPr>
        <w:t>EXCLI J.</w:t>
      </w:r>
      <w:r w:rsidRPr="00BB7434">
        <w:rPr>
          <w:rFonts w:ascii="Times New Roman" w:hAnsi="Times New Roman"/>
          <w:sz w:val="20"/>
          <w:szCs w:val="20"/>
        </w:rPr>
        <w:t xml:space="preserve"> </w:t>
      </w:r>
      <w:r w:rsidRPr="00BB7434">
        <w:rPr>
          <w:rFonts w:ascii="Times New Roman" w:hAnsi="Times New Roman"/>
          <w:b/>
          <w:sz w:val="20"/>
          <w:szCs w:val="20"/>
        </w:rPr>
        <w:t>16</w:t>
      </w:r>
      <w:r w:rsidRPr="00BB7434">
        <w:rPr>
          <w:rFonts w:ascii="Times New Roman" w:hAnsi="Times New Roman"/>
          <w:sz w:val="20"/>
          <w:szCs w:val="20"/>
        </w:rPr>
        <w:t xml:space="preserve"> (2017) 679 (</w:t>
      </w:r>
      <w:hyperlink r:id="rId10" w:history="1">
        <w:r w:rsidRPr="00BB7434">
          <w:rPr>
            <w:rStyle w:val="Hyperlink"/>
            <w:rFonts w:ascii="Times New Roman" w:hAnsi="Times New Roman"/>
            <w:sz w:val="20"/>
            <w:szCs w:val="20"/>
          </w:rPr>
          <w:t>https://dx.doi.org/10.17179%2Fexcli2017-301</w:t>
        </w:r>
      </w:hyperlink>
      <w:r w:rsidRPr="00BB7434">
        <w:rPr>
          <w:rFonts w:ascii="Times New Roman" w:hAnsi="Times New Roman"/>
          <w:sz w:val="20"/>
          <w:szCs w:val="20"/>
        </w:rPr>
        <w:t xml:space="preserve"> )</w:t>
      </w:r>
    </w:p>
    <w:p w:rsidR="00CD24B7" w:rsidRPr="00BB7434" w:rsidRDefault="00CD24B7" w:rsidP="00CD24B7">
      <w:pPr>
        <w:pStyle w:val="ListParagraph"/>
        <w:numPr>
          <w:ilvl w:val="0"/>
          <w:numId w:val="1"/>
        </w:numPr>
        <w:spacing w:after="0" w:line="360" w:lineRule="auto"/>
        <w:rPr>
          <w:rFonts w:ascii="Times New Roman" w:hAnsi="Times New Roman"/>
          <w:sz w:val="20"/>
          <w:szCs w:val="20"/>
        </w:rPr>
      </w:pPr>
      <w:r w:rsidRPr="00BB7434">
        <w:rPr>
          <w:rFonts w:ascii="Times New Roman" w:hAnsi="Times New Roman"/>
          <w:sz w:val="20"/>
          <w:szCs w:val="20"/>
          <w:lang w:val="sl-SI"/>
        </w:rPr>
        <w:t>G. Stojanović, M. Stankovic, I. Stojanović, I. Palic, V. Milovanovic, S. Rancic,</w:t>
      </w:r>
      <w:r w:rsidRPr="00BB7434">
        <w:rPr>
          <w:rFonts w:ascii="Times New Roman" w:hAnsi="Times New Roman"/>
          <w:sz w:val="20"/>
          <w:szCs w:val="20"/>
        </w:rPr>
        <w:t xml:space="preserve"> </w:t>
      </w:r>
      <w:r w:rsidRPr="00BB7434">
        <w:rPr>
          <w:rFonts w:ascii="Times New Roman" w:eastAsia="Times New Roman" w:hAnsi="Times New Roman"/>
          <w:i/>
          <w:sz w:val="20"/>
          <w:szCs w:val="20"/>
        </w:rPr>
        <w:t>Nat. prod commun</w:t>
      </w:r>
      <w:r w:rsidRPr="00BB7434">
        <w:rPr>
          <w:rFonts w:ascii="Times New Roman" w:eastAsia="Times New Roman" w:hAnsi="Times New Roman"/>
          <w:sz w:val="20"/>
          <w:szCs w:val="20"/>
        </w:rPr>
        <w:t xml:space="preserve">. </w:t>
      </w:r>
      <w:r w:rsidRPr="00BB7434">
        <w:rPr>
          <w:rFonts w:ascii="Times New Roman" w:eastAsia="Times New Roman" w:hAnsi="Times New Roman"/>
          <w:b/>
          <w:sz w:val="20"/>
          <w:szCs w:val="20"/>
        </w:rPr>
        <w:t>9</w:t>
      </w:r>
      <w:r w:rsidRPr="00BB7434">
        <w:rPr>
          <w:rFonts w:ascii="Times New Roman" w:eastAsia="Times New Roman" w:hAnsi="Times New Roman"/>
          <w:sz w:val="20"/>
          <w:szCs w:val="20"/>
        </w:rPr>
        <w:t xml:space="preserve"> (</w:t>
      </w:r>
      <w:r w:rsidRPr="00BB7434">
        <w:rPr>
          <w:rFonts w:ascii="Times New Roman" w:hAnsi="Times New Roman"/>
          <w:sz w:val="20"/>
          <w:szCs w:val="20"/>
        </w:rPr>
        <w:t>2014</w:t>
      </w:r>
      <w:r w:rsidRPr="00BB7434">
        <w:rPr>
          <w:rFonts w:ascii="Times New Roman" w:eastAsia="Times New Roman" w:hAnsi="Times New Roman"/>
          <w:sz w:val="20"/>
          <w:szCs w:val="20"/>
        </w:rPr>
        <w:t>), 503</w:t>
      </w:r>
      <w:r w:rsidRPr="00BB7434">
        <w:rPr>
          <w:rFonts w:ascii="Times New Roman" w:hAnsi="Times New Roman"/>
          <w:sz w:val="20"/>
          <w:szCs w:val="20"/>
          <w:lang w:val="sl-SI"/>
        </w:rPr>
        <w:t xml:space="preserve"> </w:t>
      </w:r>
      <w:hyperlink r:id="rId11" w:history="1">
        <w:r w:rsidRPr="00A91C91">
          <w:rPr>
            <w:rStyle w:val="Hyperlink"/>
            <w:rFonts w:ascii="Times New Roman" w:hAnsi="Times New Roman"/>
            <w:sz w:val="20"/>
            <w:szCs w:val="20"/>
            <w:lang w:val="sl-SI"/>
          </w:rPr>
          <w:t>https://www.ncbi.nlm.nih.gov/pubmed/24868868</w:t>
        </w:r>
      </w:hyperlink>
      <w:r>
        <w:rPr>
          <w:rFonts w:ascii="Times New Roman" w:hAnsi="Times New Roman"/>
          <w:sz w:val="20"/>
          <w:szCs w:val="20"/>
          <w:lang w:val="sl-SI"/>
        </w:rPr>
        <w:t xml:space="preserve"> </w:t>
      </w:r>
    </w:p>
    <w:p w:rsidR="00CD24B7" w:rsidRPr="00BB7434" w:rsidRDefault="00CD24B7" w:rsidP="00CD24B7">
      <w:pPr>
        <w:pStyle w:val="ListParagraph"/>
        <w:numPr>
          <w:ilvl w:val="0"/>
          <w:numId w:val="1"/>
        </w:numPr>
        <w:spacing w:after="0" w:line="360" w:lineRule="auto"/>
        <w:rPr>
          <w:rFonts w:ascii="Times New Roman" w:hAnsi="Times New Roman"/>
          <w:bCs/>
          <w:sz w:val="20"/>
          <w:szCs w:val="20"/>
        </w:rPr>
      </w:pPr>
      <w:r w:rsidRPr="00BB7434">
        <w:rPr>
          <w:rFonts w:ascii="Times New Roman" w:hAnsi="Times New Roman"/>
          <w:bCs/>
          <w:sz w:val="20"/>
          <w:szCs w:val="20"/>
        </w:rPr>
        <w:t xml:space="preserve">M. Fench, </w:t>
      </w:r>
      <w:r w:rsidRPr="00BB7434">
        <w:rPr>
          <w:rFonts w:ascii="Times New Roman" w:hAnsi="Times New Roman"/>
          <w:bCs/>
          <w:iCs/>
          <w:sz w:val="20"/>
          <w:szCs w:val="20"/>
        </w:rPr>
        <w:t>Mutat. Res.</w:t>
      </w:r>
      <w:r w:rsidRPr="00BB7434">
        <w:rPr>
          <w:rFonts w:ascii="Times New Roman" w:hAnsi="Times New Roman"/>
          <w:bCs/>
          <w:sz w:val="20"/>
          <w:szCs w:val="20"/>
        </w:rPr>
        <w:t xml:space="preserve"> </w:t>
      </w:r>
      <w:r w:rsidRPr="00BB7434">
        <w:rPr>
          <w:rFonts w:ascii="Times New Roman" w:hAnsi="Times New Roman"/>
          <w:b/>
          <w:bCs/>
          <w:sz w:val="20"/>
          <w:szCs w:val="20"/>
        </w:rPr>
        <w:t>285</w:t>
      </w:r>
      <w:r w:rsidRPr="00BB7434">
        <w:rPr>
          <w:rFonts w:ascii="Times New Roman" w:hAnsi="Times New Roman"/>
          <w:bCs/>
          <w:sz w:val="20"/>
          <w:szCs w:val="20"/>
        </w:rPr>
        <w:t xml:space="preserve"> (1993) 35 (</w:t>
      </w:r>
      <w:hyperlink r:id="rId12" w:history="1">
        <w:r w:rsidRPr="00BB7434">
          <w:rPr>
            <w:rStyle w:val="Hyperlink"/>
            <w:rFonts w:ascii="Times New Roman" w:hAnsi="Times New Roman"/>
            <w:bCs/>
            <w:sz w:val="20"/>
            <w:szCs w:val="20"/>
          </w:rPr>
          <w:t>https://doi.org/10.1016/0027-5107(93)90049-L</w:t>
        </w:r>
      </w:hyperlink>
      <w:r w:rsidRPr="00BB7434">
        <w:rPr>
          <w:rFonts w:ascii="Times New Roman" w:hAnsi="Times New Roman"/>
          <w:bCs/>
          <w:sz w:val="20"/>
          <w:szCs w:val="20"/>
        </w:rPr>
        <w:t xml:space="preserve"> )</w:t>
      </w:r>
    </w:p>
    <w:p w:rsidR="00CD24B7" w:rsidRPr="00BB7434" w:rsidRDefault="00CD24B7" w:rsidP="00CD24B7">
      <w:pPr>
        <w:pStyle w:val="ListParagraph"/>
        <w:numPr>
          <w:ilvl w:val="0"/>
          <w:numId w:val="1"/>
        </w:numPr>
        <w:shd w:val="clear" w:color="auto" w:fill="FFFFFF"/>
        <w:autoSpaceDE w:val="0"/>
        <w:autoSpaceDN w:val="0"/>
        <w:adjustRightInd w:val="0"/>
        <w:spacing w:after="0" w:line="360" w:lineRule="auto"/>
        <w:rPr>
          <w:rFonts w:ascii="Times New Roman" w:hAnsi="Times New Roman"/>
          <w:sz w:val="20"/>
          <w:szCs w:val="20"/>
          <w:lang w:val="sr-Latn-CS"/>
        </w:rPr>
      </w:pPr>
      <w:r w:rsidRPr="00BB7434">
        <w:rPr>
          <w:rFonts w:ascii="Times New Roman" w:hAnsi="Times New Roman"/>
          <w:sz w:val="20"/>
          <w:szCs w:val="20"/>
        </w:rPr>
        <w:t xml:space="preserve">R. Re, N. Pellegrini, A. Proreggente, A. Pannala, M.N. Yang, </w:t>
      </w:r>
      <w:r w:rsidRPr="00BB7434">
        <w:rPr>
          <w:rFonts w:ascii="Times New Roman" w:hAnsi="Times New Roman"/>
          <w:i/>
          <w:sz w:val="20"/>
          <w:szCs w:val="20"/>
        </w:rPr>
        <w:t>Free Radical Biol.</w:t>
      </w:r>
      <w:r w:rsidRPr="00BB7434">
        <w:rPr>
          <w:rFonts w:ascii="Times New Roman" w:hAnsi="Times New Roman"/>
          <w:sz w:val="20"/>
          <w:szCs w:val="20"/>
        </w:rPr>
        <w:t xml:space="preserve"> </w:t>
      </w:r>
      <w:r w:rsidRPr="00BB7434">
        <w:rPr>
          <w:rFonts w:ascii="Times New Roman" w:hAnsi="Times New Roman"/>
          <w:i/>
          <w:sz w:val="20"/>
          <w:szCs w:val="20"/>
        </w:rPr>
        <w:t>Med.</w:t>
      </w:r>
      <w:r w:rsidRPr="00BB7434">
        <w:rPr>
          <w:rFonts w:ascii="Times New Roman" w:hAnsi="Times New Roman"/>
          <w:sz w:val="20"/>
          <w:szCs w:val="20"/>
        </w:rPr>
        <w:t xml:space="preserve"> </w:t>
      </w:r>
      <w:r w:rsidRPr="00BB7434">
        <w:rPr>
          <w:rFonts w:ascii="Times New Roman" w:hAnsi="Times New Roman"/>
          <w:b/>
          <w:sz w:val="20"/>
          <w:szCs w:val="20"/>
        </w:rPr>
        <w:t>26</w:t>
      </w:r>
      <w:r w:rsidRPr="00BB7434">
        <w:rPr>
          <w:rFonts w:ascii="Times New Roman" w:hAnsi="Times New Roman"/>
          <w:sz w:val="20"/>
          <w:szCs w:val="20"/>
        </w:rPr>
        <w:t>,( 1996) 1231(</w:t>
      </w:r>
      <w:hyperlink r:id="rId13" w:history="1">
        <w:r w:rsidRPr="00BB7434">
          <w:rPr>
            <w:rStyle w:val="Hyperlink"/>
            <w:rFonts w:ascii="Times New Roman" w:hAnsi="Times New Roman"/>
            <w:sz w:val="20"/>
            <w:szCs w:val="20"/>
          </w:rPr>
          <w:t>https://doi.org/10.1016/S0891-5849(98)00315-3</w:t>
        </w:r>
      </w:hyperlink>
      <w:r w:rsidRPr="00BB7434">
        <w:rPr>
          <w:rFonts w:ascii="Times New Roman" w:hAnsi="Times New Roman"/>
          <w:sz w:val="20"/>
          <w:szCs w:val="20"/>
        </w:rPr>
        <w:t xml:space="preserve"> )</w:t>
      </w:r>
    </w:p>
    <w:p w:rsidR="00CD24B7" w:rsidRPr="00BB7434" w:rsidRDefault="00CD24B7" w:rsidP="00CD24B7">
      <w:pPr>
        <w:pStyle w:val="ListParagraph"/>
        <w:numPr>
          <w:ilvl w:val="0"/>
          <w:numId w:val="1"/>
        </w:numPr>
        <w:shd w:val="clear" w:color="auto" w:fill="FFFFFF"/>
        <w:autoSpaceDE w:val="0"/>
        <w:autoSpaceDN w:val="0"/>
        <w:adjustRightInd w:val="0"/>
        <w:spacing w:after="0" w:line="360" w:lineRule="auto"/>
        <w:textAlignment w:val="center"/>
        <w:rPr>
          <w:rFonts w:ascii="Times New Roman" w:eastAsia="Times New Roman" w:hAnsi="Times New Roman"/>
          <w:color w:val="000000"/>
          <w:sz w:val="20"/>
          <w:szCs w:val="20"/>
        </w:rPr>
      </w:pPr>
      <w:r w:rsidRPr="00BB7434">
        <w:rPr>
          <w:rFonts w:ascii="Times New Roman" w:eastAsia="Times New Roman" w:hAnsi="Times New Roman"/>
          <w:color w:val="000000"/>
          <w:sz w:val="20"/>
          <w:szCs w:val="20"/>
        </w:rPr>
        <w:t>M. Dimitrijević, V. Stankov Jovanović, J. Cvetković, T. Mihajilov-Krstev, G.</w:t>
      </w:r>
      <w:r w:rsidRPr="00BB7434">
        <w:rPr>
          <w:rFonts w:ascii="Times New Roman" w:hAnsi="Times New Roman"/>
          <w:iCs/>
          <w:sz w:val="20"/>
          <w:szCs w:val="20"/>
        </w:rPr>
        <w:t xml:space="preserve"> Stojanović, V. </w:t>
      </w:r>
      <w:r w:rsidRPr="00BB7434">
        <w:rPr>
          <w:rFonts w:ascii="Times New Roman" w:eastAsia="Times New Roman" w:hAnsi="Times New Roman"/>
          <w:color w:val="000000"/>
          <w:sz w:val="20"/>
          <w:szCs w:val="20"/>
        </w:rPr>
        <w:t xml:space="preserve">Mitić, </w:t>
      </w:r>
      <w:r w:rsidRPr="00BB7434">
        <w:rPr>
          <w:rFonts w:ascii="Times New Roman" w:eastAsia="Times New Roman" w:hAnsi="Times New Roman"/>
          <w:i/>
          <w:color w:val="000000"/>
          <w:sz w:val="20"/>
          <w:szCs w:val="20"/>
        </w:rPr>
        <w:t>Anal. Methods</w:t>
      </w:r>
      <w:r w:rsidRPr="00BB7434">
        <w:rPr>
          <w:rFonts w:ascii="Times New Roman" w:eastAsia="Times New Roman" w:hAnsi="Times New Roman"/>
          <w:color w:val="000000"/>
          <w:sz w:val="20"/>
          <w:szCs w:val="20"/>
        </w:rPr>
        <w:t xml:space="preserve"> </w:t>
      </w:r>
      <w:r w:rsidRPr="00BB7434">
        <w:rPr>
          <w:rFonts w:ascii="Times New Roman" w:eastAsia="Times New Roman" w:hAnsi="Times New Roman"/>
          <w:b/>
          <w:color w:val="000000"/>
          <w:sz w:val="20"/>
          <w:szCs w:val="20"/>
        </w:rPr>
        <w:t xml:space="preserve">7 </w:t>
      </w:r>
      <w:r w:rsidRPr="00BB7434">
        <w:rPr>
          <w:rFonts w:ascii="Times New Roman" w:eastAsia="Times New Roman" w:hAnsi="Times New Roman"/>
          <w:color w:val="000000"/>
          <w:sz w:val="20"/>
          <w:szCs w:val="20"/>
        </w:rPr>
        <w:t>(</w:t>
      </w:r>
      <w:r w:rsidRPr="00BB7434">
        <w:rPr>
          <w:rFonts w:ascii="Times New Roman" w:hAnsi="Times New Roman"/>
          <w:sz w:val="20"/>
          <w:szCs w:val="20"/>
        </w:rPr>
        <w:t>2015</w:t>
      </w:r>
      <w:r w:rsidRPr="00BB7434">
        <w:rPr>
          <w:rFonts w:ascii="Times New Roman" w:eastAsia="Times New Roman" w:hAnsi="Times New Roman"/>
          <w:color w:val="000000"/>
          <w:sz w:val="20"/>
          <w:szCs w:val="20"/>
        </w:rPr>
        <w:t>) 4181(</w:t>
      </w:r>
      <w:r w:rsidRPr="00BB7434">
        <w:rPr>
          <w:rFonts w:ascii="Times New Roman" w:hAnsi="Times New Roman"/>
          <w:sz w:val="20"/>
          <w:szCs w:val="20"/>
        </w:rPr>
        <w:t>DOI: 10.1039/x0xx00000x</w:t>
      </w:r>
      <w:r w:rsidRPr="00BB7434">
        <w:rPr>
          <w:rFonts w:ascii="Times New Roman" w:eastAsia="Times New Roman" w:hAnsi="Times New Roman"/>
          <w:color w:val="000000"/>
          <w:sz w:val="20"/>
          <w:szCs w:val="20"/>
        </w:rPr>
        <w:t xml:space="preserve">) </w:t>
      </w:r>
    </w:p>
    <w:p w:rsidR="00CD24B7" w:rsidRPr="00BB7434" w:rsidRDefault="00CD24B7" w:rsidP="00CD24B7">
      <w:pPr>
        <w:pStyle w:val="ListParagraph"/>
        <w:numPr>
          <w:ilvl w:val="0"/>
          <w:numId w:val="1"/>
        </w:numPr>
        <w:shd w:val="clear" w:color="auto" w:fill="FFFFFF"/>
        <w:autoSpaceDE w:val="0"/>
        <w:autoSpaceDN w:val="0"/>
        <w:adjustRightInd w:val="0"/>
        <w:spacing w:after="0" w:line="360" w:lineRule="auto"/>
        <w:textAlignment w:val="center"/>
        <w:rPr>
          <w:rFonts w:ascii="Times New Roman" w:eastAsia="Times New Roman" w:hAnsi="Times New Roman"/>
          <w:color w:val="555555"/>
          <w:sz w:val="20"/>
          <w:szCs w:val="20"/>
        </w:rPr>
      </w:pPr>
      <w:r w:rsidRPr="00BB7434">
        <w:rPr>
          <w:rFonts w:ascii="Times New Roman" w:hAnsi="Times New Roman"/>
          <w:sz w:val="20"/>
          <w:szCs w:val="20"/>
        </w:rPr>
        <w:t>V. Stankov Jovanović, M. Ilić, V. Mitić, T. Mihajilov-Krstev, S. Simonović, S. Nikolić Mandić, J.C. Tabet, R.B. Cole,</w:t>
      </w:r>
      <w:r w:rsidRPr="00BB7434">
        <w:rPr>
          <w:rFonts w:ascii="Times New Roman" w:hAnsi="Times New Roman"/>
          <w:i/>
          <w:sz w:val="20"/>
          <w:szCs w:val="20"/>
        </w:rPr>
        <w:t xml:space="preserve"> J. Pharmaceut. Biomed.</w:t>
      </w:r>
      <w:r w:rsidRPr="00BB7434">
        <w:rPr>
          <w:rFonts w:ascii="Times New Roman" w:hAnsi="Times New Roman"/>
          <w:b/>
          <w:i/>
          <w:sz w:val="20"/>
          <w:szCs w:val="20"/>
        </w:rPr>
        <w:t xml:space="preserve"> </w:t>
      </w:r>
      <w:r w:rsidRPr="00BB7434">
        <w:rPr>
          <w:rFonts w:ascii="Times New Roman" w:hAnsi="Times New Roman"/>
          <w:b/>
          <w:sz w:val="20"/>
          <w:szCs w:val="20"/>
        </w:rPr>
        <w:t>111</w:t>
      </w:r>
      <w:r w:rsidRPr="00BB7434">
        <w:rPr>
          <w:rFonts w:ascii="Times New Roman" w:hAnsi="Times New Roman"/>
          <w:sz w:val="20"/>
          <w:szCs w:val="20"/>
        </w:rPr>
        <w:t xml:space="preserve"> (2015) 78 (</w:t>
      </w:r>
      <w:hyperlink r:id="rId14" w:history="1">
        <w:r w:rsidRPr="00BB7434">
          <w:rPr>
            <w:rStyle w:val="Hyperlink"/>
            <w:rFonts w:ascii="Times New Roman" w:hAnsi="Times New Roman"/>
            <w:sz w:val="20"/>
            <w:szCs w:val="20"/>
            <w:shd w:val="clear" w:color="auto" w:fill="FFFFFF"/>
          </w:rPr>
          <w:t>https://doi.org</w:t>
        </w:r>
        <w:r w:rsidRPr="00BB7434">
          <w:rPr>
            <w:rStyle w:val="Hyperlink"/>
            <w:rFonts w:ascii="Times New Roman" w:hAnsi="Times New Roman"/>
            <w:b/>
            <w:bCs/>
            <w:sz w:val="20"/>
            <w:szCs w:val="20"/>
            <w:shd w:val="clear" w:color="auto" w:fill="FFFFFF"/>
          </w:rPr>
          <w:t>/10.1515/chem-2015-0002</w:t>
        </w:r>
      </w:hyperlink>
      <w:r w:rsidRPr="00BB7434">
        <w:rPr>
          <w:rStyle w:val="Emphasis"/>
          <w:rFonts w:ascii="Times New Roman" w:eastAsia="Times New Roman" w:hAnsi="Times New Roman"/>
          <w:b/>
          <w:bCs/>
          <w:color w:val="555555"/>
          <w:sz w:val="20"/>
          <w:szCs w:val="20"/>
          <w:shd w:val="clear" w:color="auto" w:fill="FFFFFF"/>
        </w:rPr>
        <w:t xml:space="preserve"> </w:t>
      </w:r>
      <w:r>
        <w:rPr>
          <w:rStyle w:val="Emphasis"/>
          <w:rFonts w:ascii="Times New Roman" w:eastAsia="Times New Roman" w:hAnsi="Times New Roman"/>
          <w:b/>
          <w:bCs/>
          <w:color w:val="555555"/>
          <w:sz w:val="20"/>
          <w:szCs w:val="20"/>
          <w:shd w:val="clear" w:color="auto" w:fill="FFFFFF"/>
        </w:rPr>
        <w:t>)</w:t>
      </w:r>
    </w:p>
    <w:p w:rsidR="00CD24B7" w:rsidRPr="00CD24B7" w:rsidRDefault="00CD24B7" w:rsidP="00CD24B7">
      <w:pPr>
        <w:pStyle w:val="Default"/>
        <w:numPr>
          <w:ilvl w:val="0"/>
          <w:numId w:val="1"/>
        </w:numPr>
        <w:spacing w:line="360" w:lineRule="auto"/>
        <w:contextualSpacing/>
        <w:rPr>
          <w:rFonts w:ascii="Times New Roman" w:hAnsi="Times New Roman" w:cs="Times New Roman"/>
          <w:bCs/>
          <w:iCs/>
          <w:sz w:val="20"/>
          <w:szCs w:val="20"/>
        </w:rPr>
      </w:pPr>
      <w:r w:rsidRPr="00BB7434">
        <w:rPr>
          <w:rFonts w:ascii="Times New Roman" w:hAnsi="Times New Roman" w:cs="Times New Roman"/>
          <w:sz w:val="20"/>
          <w:szCs w:val="20"/>
        </w:rPr>
        <w:t>NCCLS (National Committee for Clinical Laboratory Standards) Performance Standards for Antimicrobial Disk Susceptibility Test. 6</w:t>
      </w:r>
      <w:r w:rsidRPr="00BB7434">
        <w:rPr>
          <w:rFonts w:ascii="Times New Roman" w:hAnsi="Times New Roman" w:cs="Times New Roman"/>
          <w:sz w:val="20"/>
          <w:szCs w:val="20"/>
          <w:vertAlign w:val="superscript"/>
        </w:rPr>
        <w:t>th</w:t>
      </w:r>
      <w:r w:rsidRPr="00BB7434">
        <w:rPr>
          <w:rFonts w:ascii="Times New Roman" w:hAnsi="Times New Roman" w:cs="Times New Roman"/>
          <w:sz w:val="20"/>
          <w:szCs w:val="20"/>
        </w:rPr>
        <w:t xml:space="preserve"> ed., Approved Standard, (1997) M2-A6 (</w:t>
      </w:r>
      <w:hyperlink r:id="rId15" w:history="1">
        <w:r w:rsidRPr="00BB7434">
          <w:rPr>
            <w:rStyle w:val="Hyperlink"/>
            <w:rFonts w:ascii="Times New Roman" w:hAnsi="Times New Roman" w:cs="Times New Roman"/>
            <w:sz w:val="20"/>
            <w:szCs w:val="20"/>
          </w:rPr>
          <w:t>http://demo.nextlab.ir/getattachment/27407437-3d73-4048-8239-81857d68cf3d/CLSI-M2-A9.aspx</w:t>
        </w:r>
      </w:hyperlink>
      <w:r w:rsidRPr="00BB7434">
        <w:rPr>
          <w:rFonts w:ascii="Times New Roman" w:hAnsi="Times New Roman" w:cs="Times New Roman"/>
          <w:sz w:val="20"/>
          <w:szCs w:val="20"/>
        </w:rPr>
        <w:t xml:space="preserve"> )</w:t>
      </w:r>
    </w:p>
    <w:p w:rsidR="003000F2" w:rsidRPr="004A1F52" w:rsidRDefault="004A1F52" w:rsidP="004A1F52">
      <w:pPr>
        <w:pStyle w:val="ListParagraph"/>
        <w:numPr>
          <w:ilvl w:val="0"/>
          <w:numId w:val="1"/>
        </w:numPr>
        <w:spacing w:after="0" w:line="360" w:lineRule="auto"/>
        <w:rPr>
          <w:rFonts w:ascii="Times New Roman" w:hAnsi="Times New Roman"/>
          <w:bCs/>
          <w:sz w:val="20"/>
          <w:szCs w:val="20"/>
        </w:rPr>
      </w:pPr>
      <w:r w:rsidRPr="004A1F52">
        <w:rPr>
          <w:rFonts w:ascii="Times New Roman" w:hAnsi="Times New Roman"/>
          <w:sz w:val="20"/>
          <w:szCs w:val="20"/>
        </w:rPr>
        <w:t>HASL-300, EML Procedures Manual, (1983) New York</w:t>
      </w:r>
      <w:r>
        <w:rPr>
          <w:rFonts w:ascii="Times New Roman" w:hAnsi="Times New Roman"/>
          <w:bCs/>
          <w:sz w:val="20"/>
          <w:szCs w:val="20"/>
        </w:rPr>
        <w:t xml:space="preserve"> </w:t>
      </w:r>
      <w:r w:rsidR="00CD24B7" w:rsidRPr="004A1F52">
        <w:rPr>
          <w:rFonts w:ascii="Times New Roman" w:hAnsi="Times New Roman"/>
          <w:sz w:val="20"/>
          <w:szCs w:val="20"/>
        </w:rPr>
        <w:t>(</w:t>
      </w:r>
      <w:hyperlink r:id="rId16" w:history="1">
        <w:r w:rsidR="00CD24B7" w:rsidRPr="004A1F52">
          <w:rPr>
            <w:rStyle w:val="Hyperlink"/>
            <w:rFonts w:ascii="Times New Roman" w:hAnsi="Times New Roman"/>
            <w:sz w:val="20"/>
            <w:szCs w:val="20"/>
          </w:rPr>
          <w:t>https://www.orau.org/PTP/PTP%20Library/library/DOE/eml/hasl300/Introduction.PDF</w:t>
        </w:r>
      </w:hyperlink>
      <w:r w:rsidR="00CD24B7" w:rsidRPr="004A1F52">
        <w:rPr>
          <w:rFonts w:ascii="Times New Roman" w:hAnsi="Times New Roman"/>
          <w:sz w:val="20"/>
          <w:szCs w:val="20"/>
        </w:rPr>
        <w:t xml:space="preserve"> )</w:t>
      </w:r>
      <w:r w:rsidRPr="004A1F52">
        <w:rPr>
          <w:rFonts w:ascii="Times New Roman" w:hAnsi="Times New Roman"/>
          <w:bCs/>
          <w:lang w:val="en-GB"/>
        </w:rPr>
        <w:t xml:space="preserve"> </w:t>
      </w:r>
    </w:p>
    <w:sectPr w:rsidR="003000F2" w:rsidRPr="004A1F52" w:rsidSect="003000F2">
      <w:footerReference w:type="first" r:id="rId17"/>
      <w:endnotePr>
        <w:numFmt w:val="decimal"/>
      </w:endnotePr>
      <w:pgSz w:w="11907" w:h="16840" w:code="9"/>
      <w:pgMar w:top="1418" w:right="1418" w:bottom="1418" w:left="1418"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57" w:rsidRDefault="004F7957" w:rsidP="00501847">
      <w:pPr>
        <w:spacing w:after="0" w:line="240" w:lineRule="auto"/>
      </w:pPr>
      <w:r>
        <w:separator/>
      </w:r>
    </w:p>
  </w:endnote>
  <w:endnote w:type="continuationSeparator" w:id="0">
    <w:p w:rsidR="004F7957" w:rsidRDefault="004F7957" w:rsidP="0050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embedRegular r:id="rId1" w:subsetted="1" w:fontKey="{8773CC79-340D-4918-A1B4-E3516B966295}"/>
  </w:font>
  <w:font w:name="AdvGulliv-R">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A5" w:rsidRPr="00501847" w:rsidRDefault="004F7957" w:rsidP="00501847">
    <w:r>
      <w:fldChar w:fldCharType="begin"/>
    </w:r>
    <w:r>
      <w:instrText xml:space="preserve"> PAGE </w:instrText>
    </w:r>
    <w:r>
      <w:fldChar w:fldCharType="separate"/>
    </w:r>
    <w:r w:rsidR="000856B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57" w:rsidRDefault="004F7957" w:rsidP="00501847">
      <w:pPr>
        <w:spacing w:after="0" w:line="240" w:lineRule="auto"/>
      </w:pPr>
      <w:r>
        <w:separator/>
      </w:r>
    </w:p>
  </w:footnote>
  <w:footnote w:type="continuationSeparator" w:id="0">
    <w:p w:rsidR="004F7957" w:rsidRDefault="004F7957" w:rsidP="00501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047C"/>
    <w:multiLevelType w:val="hybridMultilevel"/>
    <w:tmpl w:val="D480DF1E"/>
    <w:lvl w:ilvl="0" w:tplc="2690ADA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NotTrackMoves/>
  <w:styleLockQFSet/>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4B7"/>
    <w:rsid w:val="00025A95"/>
    <w:rsid w:val="000856BC"/>
    <w:rsid w:val="000C408C"/>
    <w:rsid w:val="000F7581"/>
    <w:rsid w:val="00115EFC"/>
    <w:rsid w:val="001224A5"/>
    <w:rsid w:val="002413B3"/>
    <w:rsid w:val="00261448"/>
    <w:rsid w:val="00282ECB"/>
    <w:rsid w:val="003000F2"/>
    <w:rsid w:val="003F012C"/>
    <w:rsid w:val="00455B86"/>
    <w:rsid w:val="004A1F52"/>
    <w:rsid w:val="004F7957"/>
    <w:rsid w:val="00501847"/>
    <w:rsid w:val="00577422"/>
    <w:rsid w:val="005C7DB1"/>
    <w:rsid w:val="005E38E1"/>
    <w:rsid w:val="006F6727"/>
    <w:rsid w:val="00753A69"/>
    <w:rsid w:val="008418A5"/>
    <w:rsid w:val="009554DC"/>
    <w:rsid w:val="009B4F97"/>
    <w:rsid w:val="009D24B1"/>
    <w:rsid w:val="00B64654"/>
    <w:rsid w:val="00BB71E6"/>
    <w:rsid w:val="00BD7DB3"/>
    <w:rsid w:val="00BE27CE"/>
    <w:rsid w:val="00BF24A8"/>
    <w:rsid w:val="00CD24B7"/>
    <w:rsid w:val="00D676AA"/>
    <w:rsid w:val="00D85D8E"/>
    <w:rsid w:val="00E05209"/>
    <w:rsid w:val="00E75C0E"/>
    <w:rsid w:val="00EF041B"/>
    <w:rsid w:val="00EF732F"/>
    <w:rsid w:val="00F1640D"/>
    <w:rsid w:val="00F26971"/>
    <w:rsid w:val="00F44A94"/>
    <w:rsid w:val="00F47715"/>
    <w:rsid w:val="00FB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01847"/>
    <w:pPr>
      <w:tabs>
        <w:tab w:val="center" w:pos="4536"/>
        <w:tab w:val="right" w:pos="9072"/>
      </w:tabs>
      <w:spacing w:after="0" w:line="240" w:lineRule="auto"/>
    </w:pPr>
  </w:style>
  <w:style w:type="character" w:customStyle="1" w:styleId="HeaderChar">
    <w:name w:val="Header Char"/>
    <w:link w:val="Header"/>
    <w:uiPriority w:val="99"/>
    <w:semiHidden/>
    <w:rsid w:val="003F012C"/>
    <w:rPr>
      <w:sz w:val="22"/>
      <w:szCs w:val="22"/>
      <w:lang w:eastAsia="en-US"/>
    </w:rPr>
  </w:style>
  <w:style w:type="paragraph" w:styleId="Footer">
    <w:name w:val="footer"/>
    <w:basedOn w:val="Normal"/>
    <w:link w:val="FooterChar"/>
    <w:uiPriority w:val="99"/>
    <w:semiHidden/>
    <w:rsid w:val="00501847"/>
    <w:pPr>
      <w:tabs>
        <w:tab w:val="center" w:pos="4536"/>
        <w:tab w:val="right" w:pos="9072"/>
      </w:tabs>
      <w:spacing w:after="0" w:line="240" w:lineRule="auto"/>
    </w:pPr>
  </w:style>
  <w:style w:type="character" w:customStyle="1" w:styleId="FooterChar">
    <w:name w:val="Footer Char"/>
    <w:link w:val="Footer"/>
    <w:uiPriority w:val="99"/>
    <w:semiHidden/>
    <w:rsid w:val="003F012C"/>
    <w:rPr>
      <w:sz w:val="22"/>
      <w:szCs w:val="22"/>
      <w:lang w:eastAsia="en-US"/>
    </w:rPr>
  </w:style>
  <w:style w:type="character" w:styleId="Hyperlink">
    <w:name w:val="Hyperlink"/>
    <w:uiPriority w:val="99"/>
    <w:unhideWhenUsed/>
    <w:rsid w:val="002413B3"/>
    <w:rPr>
      <w:color w:val="0563C1"/>
      <w:u w:val="single"/>
    </w:rPr>
  </w:style>
  <w:style w:type="character" w:styleId="FollowedHyperlink">
    <w:name w:val="FollowedHyperlink"/>
    <w:uiPriority w:val="99"/>
    <w:semiHidden/>
    <w:unhideWhenUsed/>
    <w:rsid w:val="000C408C"/>
    <w:rPr>
      <w:color w:val="800080"/>
      <w:u w:val="single"/>
    </w:rPr>
  </w:style>
  <w:style w:type="character" w:styleId="Emphasis">
    <w:name w:val="Emphasis"/>
    <w:uiPriority w:val="20"/>
    <w:qFormat/>
    <w:rsid w:val="000C408C"/>
    <w:rPr>
      <w:i/>
      <w:iCs/>
    </w:rPr>
  </w:style>
  <w:style w:type="paragraph" w:styleId="ListParagraph">
    <w:name w:val="List Paragraph"/>
    <w:basedOn w:val="Normal"/>
    <w:uiPriority w:val="34"/>
    <w:qFormat/>
    <w:rsid w:val="003000F2"/>
    <w:pPr>
      <w:ind w:left="720"/>
      <w:contextualSpacing/>
    </w:pPr>
  </w:style>
  <w:style w:type="paragraph" w:customStyle="1" w:styleId="Authornames">
    <w:name w:val="Author names"/>
    <w:basedOn w:val="Normal"/>
    <w:next w:val="Normal"/>
    <w:qFormat/>
    <w:rsid w:val="000C408C"/>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qFormat/>
    <w:rsid w:val="000C408C"/>
    <w:pPr>
      <w:spacing w:before="240" w:after="0" w:line="360" w:lineRule="auto"/>
    </w:pPr>
    <w:rPr>
      <w:rFonts w:ascii="Times New Roman" w:eastAsia="Times New Roman" w:hAnsi="Times New Roman"/>
      <w:i/>
      <w:sz w:val="24"/>
      <w:szCs w:val="24"/>
      <w:lang w:val="en-GB" w:eastAsia="en-GB"/>
    </w:rPr>
  </w:style>
  <w:style w:type="character" w:customStyle="1" w:styleId="srtitle">
    <w:name w:val="srtitle"/>
    <w:basedOn w:val="DefaultParagraphFont"/>
    <w:rsid w:val="00CD24B7"/>
  </w:style>
  <w:style w:type="character" w:customStyle="1" w:styleId="hps">
    <w:name w:val="hps"/>
    <w:basedOn w:val="DefaultParagraphFont"/>
    <w:rsid w:val="00CD24B7"/>
  </w:style>
  <w:style w:type="character" w:customStyle="1" w:styleId="shorttext">
    <w:name w:val="short_text"/>
    <w:basedOn w:val="DefaultParagraphFont"/>
    <w:rsid w:val="00CD24B7"/>
  </w:style>
  <w:style w:type="paragraph" w:customStyle="1" w:styleId="Default">
    <w:name w:val="Default"/>
    <w:rsid w:val="00CD24B7"/>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S0891-5849(98)0031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16/0027-5107(93)9004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rau.org/PTP/PTP%20Library/library/DOE/eml/hasl300/Introduc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4868868" TargetMode="External"/><Relationship Id="rId5" Type="http://schemas.openxmlformats.org/officeDocument/2006/relationships/settings" Target="settings.xml"/><Relationship Id="rId15" Type="http://schemas.openxmlformats.org/officeDocument/2006/relationships/hyperlink" Target="http://demo.nextlab.ir/getattachment/27407437-3d73-4048-8239-81857d68cf3d/CLSI-M2-A9.aspx" TargetMode="External"/><Relationship Id="rId10" Type="http://schemas.openxmlformats.org/officeDocument/2006/relationships/hyperlink" Target="https://dx.doi.org/10.17179%2Fexcli2017-3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i.org/10.1080/14786419.2017.1375926" TargetMode="External"/><Relationship Id="rId14" Type="http://schemas.openxmlformats.org/officeDocument/2006/relationships/hyperlink" Target="https://doi.org/10.1515/chem-2015-000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10lenovo\zlatanovic\radovi\evernia\JSCS\Template_JS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D6F5-1003-4DBB-A9F3-34A08270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Template>
  <TotalTime>27</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Links>
    <vt:vector size="12" baseType="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Goca</cp:lastModifiedBy>
  <cp:revision>5</cp:revision>
  <dcterms:created xsi:type="dcterms:W3CDTF">2018-05-26T13:28:00Z</dcterms:created>
  <dcterms:modified xsi:type="dcterms:W3CDTF">2018-05-29T08:30:00Z</dcterms:modified>
</cp:coreProperties>
</file>