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980" w:rsidRPr="00191AC3" w:rsidRDefault="00762ADE" w:rsidP="00834A9D">
      <w:pPr>
        <w:spacing w:line="360" w:lineRule="auto"/>
        <w:jc w:val="center"/>
        <w:rPr>
          <w:b/>
          <w:i/>
          <w:iCs/>
        </w:rPr>
      </w:pPr>
      <w:bookmarkStart w:id="0" w:name="_GoBack"/>
      <w:bookmarkEnd w:id="0"/>
      <w:r w:rsidRPr="00191AC3">
        <w:rPr>
          <w:b/>
        </w:rPr>
        <w:t xml:space="preserve">Effects of Hemazin SC 500 (terbuthylazine) on antioxidative enzymes in human erythrocytes </w:t>
      </w:r>
      <w:r w:rsidRPr="00191AC3">
        <w:rPr>
          <w:b/>
          <w:i/>
          <w:iCs/>
        </w:rPr>
        <w:t>in vitro</w:t>
      </w:r>
    </w:p>
    <w:p w:rsidR="0060336C" w:rsidRDefault="0060336C" w:rsidP="00834A9D">
      <w:pPr>
        <w:spacing w:line="360" w:lineRule="auto"/>
        <w:jc w:val="center"/>
      </w:pPr>
    </w:p>
    <w:p w:rsidR="009D0BD8" w:rsidRPr="009D0BD8" w:rsidRDefault="00F550EA" w:rsidP="00834A9D">
      <w:pPr>
        <w:spacing w:line="360" w:lineRule="auto"/>
        <w:jc w:val="center"/>
        <w:rPr>
          <w:vertAlign w:val="superscript"/>
        </w:rPr>
      </w:pPr>
      <w:r w:rsidRPr="009D0BD8">
        <w:t>BILJANA DAVIDOVIĆ-PLAVŠIĆ</w:t>
      </w:r>
      <w:r w:rsidRPr="009D0BD8">
        <w:rPr>
          <w:vertAlign w:val="superscript"/>
        </w:rPr>
        <w:t>1</w:t>
      </w:r>
      <w:r>
        <w:rPr>
          <w:vertAlign w:val="superscript"/>
        </w:rPr>
        <w:t>*</w:t>
      </w:r>
      <w:r w:rsidRPr="009D0BD8">
        <w:t>, NATAŠA LUKIĆ</w:t>
      </w:r>
      <w:r w:rsidRPr="009D0BD8">
        <w:rPr>
          <w:vertAlign w:val="superscript"/>
        </w:rPr>
        <w:t>2</w:t>
      </w:r>
      <w:r w:rsidRPr="009D0BD8">
        <w:t>, ALEKSANDRA NIKOLIĆ-KOKIĆ</w:t>
      </w:r>
      <w:r w:rsidRPr="009D0BD8">
        <w:rPr>
          <w:vertAlign w:val="superscript"/>
        </w:rPr>
        <w:t>3</w:t>
      </w:r>
      <w:r w:rsidR="00B6584E">
        <w:rPr>
          <w:vertAlign w:val="superscript"/>
        </w:rPr>
        <w:t xml:space="preserve"> </w:t>
      </w:r>
      <w:r w:rsidR="003C0F91">
        <w:t>AND</w:t>
      </w:r>
      <w:r w:rsidR="00256244">
        <w:t xml:space="preserve"> </w:t>
      </w:r>
      <w:r w:rsidRPr="00FE1513">
        <w:t>BILJANA</w:t>
      </w:r>
      <w:r w:rsidR="00256244">
        <w:t xml:space="preserve"> </w:t>
      </w:r>
      <w:r w:rsidRPr="00FE1513">
        <w:t>KUKAVICA</w:t>
      </w:r>
      <w:r w:rsidR="008220B8">
        <w:rPr>
          <w:vertAlign w:val="superscript"/>
        </w:rPr>
        <w:t>1</w:t>
      </w:r>
    </w:p>
    <w:p w:rsidR="009D0BD8" w:rsidRPr="009D0BD8" w:rsidRDefault="009D0BD8" w:rsidP="00834A9D">
      <w:pPr>
        <w:spacing w:line="360" w:lineRule="auto"/>
      </w:pPr>
    </w:p>
    <w:p w:rsidR="003F1350" w:rsidRDefault="009D0BD8" w:rsidP="00834A9D">
      <w:pPr>
        <w:spacing w:line="360" w:lineRule="auto"/>
        <w:jc w:val="center"/>
        <w:rPr>
          <w:i/>
        </w:rPr>
      </w:pPr>
      <w:r w:rsidRPr="0058310E">
        <w:rPr>
          <w:vertAlign w:val="superscript"/>
        </w:rPr>
        <w:t>1</w:t>
      </w:r>
      <w:r w:rsidR="008220B8" w:rsidRPr="00F550EA">
        <w:rPr>
          <w:i/>
        </w:rPr>
        <w:t>Faculty of Natural Sciences and Mathematics, University of Banja Luka,</w:t>
      </w:r>
      <w:r w:rsidR="00C42FB8">
        <w:rPr>
          <w:i/>
        </w:rPr>
        <w:t xml:space="preserve"> </w:t>
      </w:r>
      <w:r w:rsidR="008220B8" w:rsidRPr="001D52A4">
        <w:rPr>
          <w:i/>
        </w:rPr>
        <w:t>Mladena</w:t>
      </w:r>
      <w:r w:rsidR="00C42FB8">
        <w:rPr>
          <w:i/>
        </w:rPr>
        <w:t xml:space="preserve"> </w:t>
      </w:r>
      <w:r w:rsidR="008220B8" w:rsidRPr="001D52A4">
        <w:rPr>
          <w:i/>
        </w:rPr>
        <w:t>Stojanovića 2, 78000 Banja Luka</w:t>
      </w:r>
      <w:r w:rsidR="008220B8">
        <w:rPr>
          <w:i/>
        </w:rPr>
        <w:t>,</w:t>
      </w:r>
      <w:r w:rsidR="008220B8" w:rsidRPr="00F550EA">
        <w:rPr>
          <w:i/>
        </w:rPr>
        <w:t xml:space="preserve"> Bosnia and Herzegovina</w:t>
      </w:r>
      <w:r w:rsidR="00183F07">
        <w:rPr>
          <w:i/>
          <w:lang w:val="sr-Cyrl-BA"/>
        </w:rPr>
        <w:t xml:space="preserve">, </w:t>
      </w:r>
      <w:r w:rsidR="00F55A0F" w:rsidRPr="008220B8">
        <w:rPr>
          <w:i/>
          <w:vertAlign w:val="superscript"/>
        </w:rPr>
        <w:t>2</w:t>
      </w:r>
      <w:r w:rsidR="008220B8" w:rsidRPr="008220B8">
        <w:rPr>
          <w:i/>
        </w:rPr>
        <w:t>Faculty of Sciences</w:t>
      </w:r>
      <w:r w:rsidR="00762ADE" w:rsidRPr="008220B8">
        <w:rPr>
          <w:i/>
        </w:rPr>
        <w:t>,</w:t>
      </w:r>
      <w:r w:rsidR="00C42FB8">
        <w:rPr>
          <w:i/>
        </w:rPr>
        <w:t xml:space="preserve"> </w:t>
      </w:r>
      <w:r w:rsidR="00762ADE" w:rsidRPr="008220B8">
        <w:rPr>
          <w:i/>
        </w:rPr>
        <w:t>University of Novi Sad,</w:t>
      </w:r>
      <w:r w:rsidR="00C42FB8">
        <w:rPr>
          <w:i/>
        </w:rPr>
        <w:t xml:space="preserve"> </w:t>
      </w:r>
      <w:r w:rsidR="008220B8" w:rsidRPr="008220B8">
        <w:rPr>
          <w:i/>
          <w:color w:val="000000"/>
          <w:shd w:val="clear" w:color="auto" w:fill="FFFFFF"/>
        </w:rPr>
        <w:t>Trg</w:t>
      </w:r>
      <w:r w:rsidR="00C42FB8">
        <w:rPr>
          <w:i/>
          <w:color w:val="000000"/>
          <w:shd w:val="clear" w:color="auto" w:fill="FFFFFF"/>
        </w:rPr>
        <w:t xml:space="preserve"> </w:t>
      </w:r>
      <w:r w:rsidR="008220B8" w:rsidRPr="008220B8">
        <w:rPr>
          <w:i/>
          <w:color w:val="000000"/>
          <w:shd w:val="clear" w:color="auto" w:fill="FFFFFF"/>
        </w:rPr>
        <w:t>Dositeja</w:t>
      </w:r>
      <w:r w:rsidR="00C42FB8">
        <w:rPr>
          <w:i/>
          <w:color w:val="000000"/>
          <w:shd w:val="clear" w:color="auto" w:fill="FFFFFF"/>
        </w:rPr>
        <w:t xml:space="preserve"> </w:t>
      </w:r>
      <w:r w:rsidR="008220B8" w:rsidRPr="008220B8">
        <w:rPr>
          <w:i/>
          <w:color w:val="000000"/>
          <w:shd w:val="clear" w:color="auto" w:fill="FFFFFF"/>
        </w:rPr>
        <w:t>Obradovi</w:t>
      </w:r>
      <w:r w:rsidR="008220B8">
        <w:rPr>
          <w:i/>
          <w:color w:val="000000"/>
          <w:shd w:val="clear" w:color="auto" w:fill="FFFFFF"/>
        </w:rPr>
        <w:t>ć</w:t>
      </w:r>
      <w:r w:rsidR="008220B8" w:rsidRPr="008220B8">
        <w:rPr>
          <w:i/>
          <w:color w:val="000000"/>
          <w:shd w:val="clear" w:color="auto" w:fill="FFFFFF"/>
        </w:rPr>
        <w:t>a 2, 21000 Novi Sad</w:t>
      </w:r>
      <w:r w:rsidR="00183F07">
        <w:rPr>
          <w:i/>
          <w:color w:val="000000"/>
          <w:shd w:val="clear" w:color="auto" w:fill="FFFFFF"/>
          <w:lang w:val="sr-Cyrl-BA"/>
        </w:rPr>
        <w:t xml:space="preserve">, </w:t>
      </w:r>
      <w:r w:rsidR="008220B8" w:rsidRPr="008220B8">
        <w:rPr>
          <w:i/>
        </w:rPr>
        <w:t>Republic of Serbia</w:t>
      </w:r>
      <w:r w:rsidR="00183F07">
        <w:rPr>
          <w:i/>
          <w:lang w:val="sr-Cyrl-BA"/>
        </w:rPr>
        <w:t xml:space="preserve">, </w:t>
      </w:r>
      <w:r w:rsidR="00762ADE" w:rsidRPr="006D5C27">
        <w:rPr>
          <w:vertAlign w:val="superscript"/>
        </w:rPr>
        <w:t>3</w:t>
      </w:r>
      <w:r w:rsidR="003F1350" w:rsidRPr="00F550EA">
        <w:rPr>
          <w:i/>
        </w:rPr>
        <w:t>Institute for Biological Research ”Siniša</w:t>
      </w:r>
      <w:r w:rsidR="00C42FB8">
        <w:rPr>
          <w:i/>
        </w:rPr>
        <w:t xml:space="preserve"> </w:t>
      </w:r>
      <w:r w:rsidR="003F1350" w:rsidRPr="00F550EA">
        <w:rPr>
          <w:i/>
        </w:rPr>
        <w:t>Stanković“,</w:t>
      </w:r>
      <w:r w:rsidR="00B6584E">
        <w:rPr>
          <w:i/>
        </w:rPr>
        <w:t xml:space="preserve"> </w:t>
      </w:r>
      <w:r w:rsidR="008220B8" w:rsidRPr="00F550EA">
        <w:rPr>
          <w:i/>
        </w:rPr>
        <w:t xml:space="preserve">University of Belgrade, </w:t>
      </w:r>
      <w:r w:rsidR="008220B8" w:rsidRPr="008220B8">
        <w:rPr>
          <w:rStyle w:val="xbe"/>
          <w:i/>
          <w:shd w:val="clear" w:color="auto" w:fill="FFFFFF"/>
        </w:rPr>
        <w:t>Bulevar</w:t>
      </w:r>
      <w:r w:rsidR="00C42FB8">
        <w:rPr>
          <w:rStyle w:val="xbe"/>
          <w:i/>
          <w:shd w:val="clear" w:color="auto" w:fill="FFFFFF"/>
        </w:rPr>
        <w:t xml:space="preserve"> </w:t>
      </w:r>
      <w:r w:rsidR="008220B8" w:rsidRPr="008220B8">
        <w:rPr>
          <w:rStyle w:val="xbe"/>
          <w:i/>
          <w:shd w:val="clear" w:color="auto" w:fill="FFFFFF"/>
        </w:rPr>
        <w:t>despota</w:t>
      </w:r>
      <w:r w:rsidR="00C42FB8">
        <w:rPr>
          <w:rStyle w:val="xbe"/>
          <w:i/>
          <w:shd w:val="clear" w:color="auto" w:fill="FFFFFF"/>
        </w:rPr>
        <w:t xml:space="preserve"> </w:t>
      </w:r>
      <w:r w:rsidR="008220B8" w:rsidRPr="008220B8">
        <w:rPr>
          <w:rStyle w:val="xbe"/>
          <w:i/>
          <w:shd w:val="clear" w:color="auto" w:fill="FFFFFF"/>
        </w:rPr>
        <w:t>Stefana 142, 11060 Belgrade</w:t>
      </w:r>
      <w:r w:rsidR="008220B8">
        <w:rPr>
          <w:rStyle w:val="xbe"/>
          <w:i/>
          <w:shd w:val="clear" w:color="auto" w:fill="FFFFFF"/>
        </w:rPr>
        <w:t xml:space="preserve">, </w:t>
      </w:r>
      <w:r w:rsidR="008220B8" w:rsidRPr="008220B8">
        <w:rPr>
          <w:bCs/>
          <w:i/>
        </w:rPr>
        <w:t xml:space="preserve">Republic of </w:t>
      </w:r>
      <w:r w:rsidR="00762ADE" w:rsidRPr="00F550EA">
        <w:rPr>
          <w:i/>
        </w:rPr>
        <w:t>Serbia</w:t>
      </w:r>
    </w:p>
    <w:p w:rsidR="006D2D20" w:rsidRPr="00083A52" w:rsidRDefault="006D2D20" w:rsidP="00834A9D">
      <w:pPr>
        <w:spacing w:line="360" w:lineRule="auto"/>
        <w:rPr>
          <w:shd w:val="clear" w:color="auto" w:fill="FFFFFF"/>
        </w:rPr>
      </w:pPr>
    </w:p>
    <w:p w:rsidR="006D2D20" w:rsidRPr="00F550EA" w:rsidRDefault="00F550EA" w:rsidP="00834A9D">
      <w:pPr>
        <w:spacing w:line="360" w:lineRule="auto"/>
        <w:rPr>
          <w:i/>
        </w:rPr>
      </w:pPr>
      <w:r w:rsidRPr="00F550EA">
        <w:rPr>
          <w:i/>
        </w:rPr>
        <w:t>*</w:t>
      </w:r>
      <w:r w:rsidR="006D2D20" w:rsidRPr="00F550EA">
        <w:rPr>
          <w:i/>
        </w:rPr>
        <w:t>Corresponding Author</w:t>
      </w:r>
      <w:r w:rsidR="00D94DF3">
        <w:rPr>
          <w:i/>
          <w:lang w:val="sr-Cyrl-BA"/>
        </w:rPr>
        <w:t>.</w:t>
      </w:r>
      <w:r w:rsidR="00256244">
        <w:rPr>
          <w:i/>
          <w:lang w:val="sr-Latn-BA"/>
        </w:rPr>
        <w:t xml:space="preserve"> </w:t>
      </w:r>
      <w:r w:rsidR="002306BE" w:rsidRPr="00F550EA">
        <w:rPr>
          <w:i/>
        </w:rPr>
        <w:t>E</w:t>
      </w:r>
      <w:r w:rsidR="00762ADE" w:rsidRPr="00F550EA">
        <w:rPr>
          <w:i/>
        </w:rPr>
        <w:t xml:space="preserve">-mail: </w:t>
      </w:r>
      <w:hyperlink r:id="rId8" w:history="1">
        <w:r w:rsidR="00DB5FB9" w:rsidRPr="00F550EA">
          <w:rPr>
            <w:rStyle w:val="Hyperlink"/>
            <w:i/>
          </w:rPr>
          <w:t>biljana.davidovic-plavsic@pmf.unibl.org</w:t>
        </w:r>
      </w:hyperlink>
    </w:p>
    <w:p w:rsidR="00D94DF3" w:rsidRDefault="00D94DF3" w:rsidP="00834A9D">
      <w:pPr>
        <w:spacing w:line="360" w:lineRule="auto"/>
        <w:jc w:val="left"/>
        <w:rPr>
          <w:b/>
          <w:i/>
          <w:lang w:val="sr-Cyrl-BA"/>
        </w:rPr>
      </w:pPr>
    </w:p>
    <w:p w:rsidR="00EC1653" w:rsidRDefault="00F550EA" w:rsidP="00834A9D">
      <w:pPr>
        <w:spacing w:line="360" w:lineRule="auto"/>
      </w:pPr>
      <w:r w:rsidRPr="00D94DF3">
        <w:rPr>
          <w:i/>
        </w:rPr>
        <w:t>Abstract</w:t>
      </w:r>
      <w:r w:rsidR="00186237" w:rsidRPr="00D94DF3">
        <w:rPr>
          <w:i/>
        </w:rPr>
        <w:t>:</w:t>
      </w:r>
      <w:r w:rsidR="00C42FB8">
        <w:rPr>
          <w:i/>
        </w:rPr>
        <w:t xml:space="preserve"> </w:t>
      </w:r>
      <w:r w:rsidR="00177B09" w:rsidRPr="00083A52">
        <w:t>The aim of this</w:t>
      </w:r>
      <w:r w:rsidR="00177B09" w:rsidRPr="00636D41">
        <w:t xml:space="preserve"> work was to investigate the effect of </w:t>
      </w:r>
      <w:r w:rsidR="00177B09">
        <w:t xml:space="preserve">the herbicide, </w:t>
      </w:r>
      <w:r w:rsidR="00177B09" w:rsidRPr="002955AF">
        <w:rPr>
          <w:shd w:val="clear" w:color="auto" w:fill="FFFFFF"/>
        </w:rPr>
        <w:t>commercial formulation</w:t>
      </w:r>
      <w:r w:rsidR="00C42FB8">
        <w:rPr>
          <w:shd w:val="clear" w:color="auto" w:fill="FFFFFF"/>
        </w:rPr>
        <w:t xml:space="preserve"> </w:t>
      </w:r>
      <w:r w:rsidR="00177B09" w:rsidRPr="00F84C51">
        <w:t>Hemazin</w:t>
      </w:r>
      <w:r w:rsidR="00C42FB8">
        <w:t xml:space="preserve"> </w:t>
      </w:r>
      <w:r w:rsidR="00177B09" w:rsidRPr="00D64684">
        <w:t>SC 500</w:t>
      </w:r>
      <w:r w:rsidR="00C42FB8">
        <w:t xml:space="preserve"> </w:t>
      </w:r>
      <w:r w:rsidR="00177B09" w:rsidRPr="00D64684">
        <w:t xml:space="preserve">containing </w:t>
      </w:r>
      <w:r w:rsidR="00177B09" w:rsidRPr="005554F7">
        <w:t>terbuthylazine</w:t>
      </w:r>
      <w:r w:rsidR="00177B09" w:rsidRPr="00D64684">
        <w:t xml:space="preserve"> as an active compound </w:t>
      </w:r>
      <w:r w:rsidR="00177B09" w:rsidRPr="00636D41">
        <w:t>on</w:t>
      </w:r>
      <w:r w:rsidR="00C42FB8">
        <w:t xml:space="preserve"> </w:t>
      </w:r>
      <w:r w:rsidR="00177B09" w:rsidRPr="00FE1513">
        <w:t>isoenzyme pattern</w:t>
      </w:r>
      <w:r w:rsidR="00177B09" w:rsidRPr="009C789A">
        <w:t xml:space="preserve">s and </w:t>
      </w:r>
      <w:r w:rsidR="00177B09" w:rsidRPr="003E1445">
        <w:t xml:space="preserve">activities of </w:t>
      </w:r>
      <w:r w:rsidR="00177B09">
        <w:t>CuZn</w:t>
      </w:r>
      <w:r w:rsidR="00C42FB8">
        <w:t xml:space="preserve"> </w:t>
      </w:r>
      <w:r w:rsidR="00177B09" w:rsidRPr="003E1445">
        <w:t>superoxide dismutase (</w:t>
      </w:r>
      <w:r w:rsidR="00177B09">
        <w:t>SOD1</w:t>
      </w:r>
      <w:r w:rsidR="007C0513">
        <w:t>)</w:t>
      </w:r>
      <w:r w:rsidR="00177B09" w:rsidRPr="003E1445">
        <w:t xml:space="preserve"> and</w:t>
      </w:r>
      <w:r w:rsidR="00C42FB8">
        <w:t xml:space="preserve"> </w:t>
      </w:r>
      <w:r w:rsidR="00177B09" w:rsidRPr="003E1445">
        <w:t>catalase (CAT</w:t>
      </w:r>
      <w:r w:rsidR="007C0513">
        <w:rPr>
          <w:rFonts w:eastAsia="Calibri"/>
        </w:rPr>
        <w:t>)</w:t>
      </w:r>
      <w:r w:rsidR="00177B09" w:rsidRPr="003E1445">
        <w:rPr>
          <w:rFonts w:eastAsia="Calibri"/>
        </w:rPr>
        <w:t>,</w:t>
      </w:r>
      <w:r w:rsidR="00C42FB8">
        <w:rPr>
          <w:rFonts w:eastAsia="Calibri"/>
        </w:rPr>
        <w:t xml:space="preserve"> </w:t>
      </w:r>
      <w:r w:rsidR="00177B09" w:rsidRPr="003E1445">
        <w:t>as well as on glutathione-S-transferase (GST</w:t>
      </w:r>
      <w:r w:rsidR="007C0513">
        <w:t>)</w:t>
      </w:r>
      <w:r w:rsidR="00177B09" w:rsidRPr="003E1445">
        <w:t xml:space="preserve"> activity</w:t>
      </w:r>
      <w:r w:rsidR="00C42FB8">
        <w:t xml:space="preserve"> </w:t>
      </w:r>
      <w:r w:rsidR="00177B09" w:rsidRPr="003E1445">
        <w:t xml:space="preserve">in human erythrocytes </w:t>
      </w:r>
      <w:r w:rsidR="00177B09" w:rsidRPr="003E1445">
        <w:rPr>
          <w:i/>
        </w:rPr>
        <w:t>in vitro</w:t>
      </w:r>
      <w:r w:rsidR="00177B09" w:rsidRPr="003E1445">
        <w:t>.</w:t>
      </w:r>
      <w:r w:rsidR="00C42FB8">
        <w:t xml:space="preserve"> </w:t>
      </w:r>
      <w:r w:rsidR="00177B09" w:rsidRPr="00E011CC">
        <w:t xml:space="preserve">The </w:t>
      </w:r>
      <w:r w:rsidR="007C0513">
        <w:t>h</w:t>
      </w:r>
      <w:r w:rsidR="007C0513" w:rsidRPr="00E011CC">
        <w:t xml:space="preserve">uman </w:t>
      </w:r>
      <w:r w:rsidR="00177B09" w:rsidRPr="00E011CC">
        <w:t xml:space="preserve">erythrocytes </w:t>
      </w:r>
      <w:r w:rsidR="008C482E" w:rsidRPr="008C482E">
        <w:rPr>
          <w:color w:val="4F81BD" w:themeColor="accent1"/>
        </w:rPr>
        <w:t>were treated with</w:t>
      </w:r>
      <w:r w:rsidR="00C42FB8">
        <w:rPr>
          <w:color w:val="4F81BD" w:themeColor="accent1"/>
        </w:rPr>
        <w:t xml:space="preserve"> </w:t>
      </w:r>
      <w:r w:rsidR="008C482E" w:rsidRPr="008C482E">
        <w:rPr>
          <w:color w:val="4F81BD" w:themeColor="accent1"/>
        </w:rPr>
        <w:t xml:space="preserve">Hemazin </w:t>
      </w:r>
      <w:r w:rsidR="003C25DF">
        <w:rPr>
          <w:color w:val="4F81BD" w:themeColor="accent1"/>
        </w:rPr>
        <w:t xml:space="preserve">SC 500 </w:t>
      </w:r>
      <w:r w:rsidR="008C482E" w:rsidRPr="008C482E">
        <w:rPr>
          <w:color w:val="4F81BD" w:themeColor="accent1"/>
        </w:rPr>
        <w:t>in broad terbuthylazine</w:t>
      </w:r>
      <w:r w:rsidR="00C42FB8">
        <w:rPr>
          <w:color w:val="4F81BD" w:themeColor="accent1"/>
        </w:rPr>
        <w:t xml:space="preserve"> </w:t>
      </w:r>
      <w:r w:rsidR="008C482E" w:rsidRPr="008C482E">
        <w:rPr>
          <w:color w:val="4F81BD" w:themeColor="accent1"/>
        </w:rPr>
        <w:t xml:space="preserve">concentrations (37 nmol/L - 37 </w:t>
      </w:r>
      <w:r w:rsidR="008C482E" w:rsidRPr="008C482E">
        <w:rPr>
          <w:color w:val="4F81BD" w:themeColor="accent1"/>
        </w:rPr>
        <w:sym w:font="Symbol" w:char="F06D"/>
      </w:r>
      <w:r w:rsidR="008C482E" w:rsidRPr="008C482E">
        <w:rPr>
          <w:color w:val="4F81BD" w:themeColor="accent1"/>
        </w:rPr>
        <w:t>mol/L)</w:t>
      </w:r>
      <w:r w:rsidR="00C42FB8">
        <w:rPr>
          <w:color w:val="4F81BD" w:themeColor="accent1"/>
        </w:rPr>
        <w:t xml:space="preserve"> </w:t>
      </w:r>
      <w:r w:rsidR="00177B09" w:rsidRPr="00F4219F">
        <w:t xml:space="preserve">for 1 and 3 h at the temperature of 37ºC. Native electrophoresis in control and treated </w:t>
      </w:r>
      <w:r w:rsidR="00F4219F" w:rsidRPr="00F4219F">
        <w:t xml:space="preserve">samples </w:t>
      </w:r>
      <w:r w:rsidR="00177B09" w:rsidRPr="00F4219F">
        <w:t>revealed two SOD1 and one CAT isoform. Treatment did not affect SOD1 and CAT isoenzyme profile, but induced a change in their activities. Terbuthylazine</w:t>
      </w:r>
      <w:r w:rsidR="00C42FB8">
        <w:t xml:space="preserve"> </w:t>
      </w:r>
      <w:r w:rsidR="0043510E">
        <w:t xml:space="preserve">at lower concentration has induced a significant increase of total SOD1 activity and decreased GST activity in samples incubated for 1 and 3 h. On the other hand, the highest increase of CAT activity was observed in the sample treated for 1 h with higher concentration of terbuthylazine. </w:t>
      </w:r>
      <w:r w:rsidR="008C482E" w:rsidRPr="008C482E">
        <w:rPr>
          <w:color w:val="FF0000"/>
        </w:rPr>
        <w:t>Hemazin SC 500 containing terbuthylazine</w:t>
      </w:r>
      <w:r w:rsidR="0043510E">
        <w:t xml:space="preserve"> induces changes in the erythrocyte antioxidative system whereby the response of individual enzymatic antioxidants depends</w:t>
      </w:r>
      <w:r w:rsidR="00177B09" w:rsidRPr="00E16471">
        <w:t xml:space="preserve"> on the concentration of the pesticide and the incubation time.</w:t>
      </w:r>
    </w:p>
    <w:p w:rsidR="00480ECC" w:rsidRDefault="00AF1C3B" w:rsidP="00834A9D">
      <w:pPr>
        <w:tabs>
          <w:tab w:val="left" w:pos="7626"/>
        </w:tabs>
        <w:spacing w:line="360" w:lineRule="auto"/>
      </w:pPr>
      <w:r>
        <w:tab/>
      </w:r>
    </w:p>
    <w:p w:rsidR="00480ECC" w:rsidRDefault="0077486F" w:rsidP="00834A9D">
      <w:pPr>
        <w:spacing w:line="360" w:lineRule="auto"/>
      </w:pPr>
      <w:r w:rsidRPr="0077486F">
        <w:rPr>
          <w:i/>
        </w:rPr>
        <w:t>Key words:</w:t>
      </w:r>
      <w:r w:rsidR="00ED380F" w:rsidRPr="00ED380F">
        <w:t xml:space="preserve"> </w:t>
      </w:r>
      <w:r w:rsidR="00ED380F" w:rsidRPr="0053620A">
        <w:rPr>
          <w:color w:val="FF0000"/>
          <w:highlight w:val="yellow"/>
        </w:rPr>
        <w:t>herbicide</w:t>
      </w:r>
      <w:commentRangeStart w:id="1"/>
      <w:r w:rsidR="00480ECC" w:rsidRPr="003E1445">
        <w:t xml:space="preserve">, </w:t>
      </w:r>
      <w:commentRangeStart w:id="2"/>
      <w:r w:rsidR="00386CAB" w:rsidRPr="0053620A">
        <w:rPr>
          <w:highlight w:val="yellow"/>
        </w:rPr>
        <w:t>hemo</w:t>
      </w:r>
      <w:r w:rsidR="00ED380F" w:rsidRPr="0053620A">
        <w:rPr>
          <w:highlight w:val="yellow"/>
        </w:rPr>
        <w:t>lysate</w:t>
      </w:r>
      <w:commentRangeEnd w:id="2"/>
      <w:r w:rsidR="0053620A">
        <w:rPr>
          <w:rStyle w:val="CommentReference"/>
          <w:rFonts w:ascii="Calibri" w:eastAsia="Calibri" w:hAnsi="Calibri"/>
        </w:rPr>
        <w:commentReference w:id="2"/>
      </w:r>
      <w:r w:rsidR="00480ECC" w:rsidRPr="003E1445">
        <w:t xml:space="preserve">, </w:t>
      </w:r>
      <w:r w:rsidR="00480ECC">
        <w:t>SOD1</w:t>
      </w:r>
      <w:r w:rsidR="00480ECC" w:rsidRPr="003E1445">
        <w:t>, catalase, glutathione-S-transferase</w:t>
      </w:r>
      <w:commentRangeEnd w:id="1"/>
      <w:r w:rsidR="008A7DEF">
        <w:rPr>
          <w:rStyle w:val="CommentReference"/>
          <w:rFonts w:ascii="Calibri" w:eastAsia="Calibri" w:hAnsi="Calibri"/>
        </w:rPr>
        <w:commentReference w:id="1"/>
      </w:r>
    </w:p>
    <w:p w:rsidR="00A01DCC" w:rsidRDefault="00A01DCC" w:rsidP="00834A9D">
      <w:pPr>
        <w:spacing w:line="360" w:lineRule="auto"/>
      </w:pPr>
    </w:p>
    <w:p w:rsidR="006533D5" w:rsidRDefault="008248D3" w:rsidP="00834A9D">
      <w:pPr>
        <w:spacing w:line="360" w:lineRule="auto"/>
        <w:rPr>
          <w:b/>
        </w:rPr>
      </w:pPr>
      <w:r w:rsidRPr="00CB5B52">
        <w:rPr>
          <w:color w:val="4F81BD" w:themeColor="accent1"/>
        </w:rPr>
        <w:t>TERBUTHYLAZINE</w:t>
      </w:r>
      <w:r w:rsidR="00D94DF3" w:rsidRPr="008220B8">
        <w:t xml:space="preserve"> AND ANTIOXIDATIVE ENZYMES OF ERYTHROCYTE</w:t>
      </w:r>
      <w:r w:rsidR="00D94DF3" w:rsidRPr="00FD6430">
        <w:t>S</w:t>
      </w:r>
    </w:p>
    <w:p w:rsidR="00C42FB8" w:rsidRDefault="00C42FB8" w:rsidP="00834A9D">
      <w:pPr>
        <w:spacing w:line="360" w:lineRule="auto"/>
        <w:jc w:val="center"/>
      </w:pPr>
    </w:p>
    <w:p w:rsidR="005308E2" w:rsidRDefault="009A38C0" w:rsidP="00834A9D">
      <w:pPr>
        <w:spacing w:line="360" w:lineRule="auto"/>
        <w:jc w:val="center"/>
      </w:pPr>
      <w:r w:rsidRPr="009A38C0">
        <w:lastRenderedPageBreak/>
        <w:t>INTRODUCTION</w:t>
      </w:r>
    </w:p>
    <w:p w:rsidR="00A01DCC" w:rsidRPr="005308E2" w:rsidRDefault="00A01DCC" w:rsidP="00834A9D">
      <w:pPr>
        <w:spacing w:line="360" w:lineRule="auto"/>
        <w:jc w:val="center"/>
      </w:pPr>
    </w:p>
    <w:p w:rsidR="003B5D41" w:rsidRDefault="003E1445" w:rsidP="00834A9D">
      <w:pPr>
        <w:spacing w:line="360" w:lineRule="auto"/>
        <w:ind w:firstLine="709"/>
        <w:rPr>
          <w:lang w:val="sr-Cyrl-BA"/>
        </w:rPr>
      </w:pPr>
      <w:r w:rsidRPr="003E1445">
        <w:t>Application of pesticides in agriculture is bidirectional. Pesticides lead to higher crop yields and obtaining sufficient quantities of food and reduce the occurrence of life-threatening illnesses. On the other hand, pesticides can have toxic effects on animals and humans that are not the primary targets of pesticide</w:t>
      </w:r>
      <w:r w:rsidR="00C42FB8">
        <w:t xml:space="preserve"> </w:t>
      </w:r>
      <w:r w:rsidR="00216DA4">
        <w:t>application</w:t>
      </w:r>
      <w:r w:rsidR="001C60BE" w:rsidRPr="00216DA4">
        <w:t xml:space="preserve">. </w:t>
      </w:r>
      <w:r w:rsidR="008C482E" w:rsidRPr="008C482E">
        <w:rPr>
          <w:color w:val="4F81BD" w:themeColor="accent1"/>
        </w:rPr>
        <w:t>Terbuthylazine</w:t>
      </w:r>
      <w:r w:rsidR="00C42FB8">
        <w:rPr>
          <w:color w:val="4F81BD" w:themeColor="accent1"/>
        </w:rPr>
        <w:t xml:space="preserve"> </w:t>
      </w:r>
      <w:r w:rsidR="008C482E" w:rsidRPr="008C482E">
        <w:rPr>
          <w:color w:val="4F81BD" w:themeColor="accent1"/>
        </w:rPr>
        <w:t>(</w:t>
      </w:r>
      <w:r w:rsidR="008C482E" w:rsidRPr="008C482E">
        <w:rPr>
          <w:color w:val="4F81BD" w:themeColor="accent1"/>
          <w:shd w:val="clear" w:color="auto" w:fill="FFFFFF"/>
        </w:rPr>
        <w:t>C</w:t>
      </w:r>
      <w:r w:rsidR="008C482E" w:rsidRPr="008C482E">
        <w:rPr>
          <w:color w:val="4F81BD" w:themeColor="accent1"/>
          <w:shd w:val="clear" w:color="auto" w:fill="FFFFFF"/>
          <w:vertAlign w:val="subscript"/>
        </w:rPr>
        <w:t>9</w:t>
      </w:r>
      <w:r w:rsidR="008C482E" w:rsidRPr="008C482E">
        <w:rPr>
          <w:color w:val="4F81BD" w:themeColor="accent1"/>
          <w:shd w:val="clear" w:color="auto" w:fill="FFFFFF"/>
        </w:rPr>
        <w:t>H</w:t>
      </w:r>
      <w:r w:rsidR="008C482E" w:rsidRPr="008C482E">
        <w:rPr>
          <w:color w:val="4F81BD" w:themeColor="accent1"/>
          <w:shd w:val="clear" w:color="auto" w:fill="FFFFFF"/>
          <w:vertAlign w:val="subscript"/>
        </w:rPr>
        <w:t>16</w:t>
      </w:r>
      <w:r w:rsidR="008C482E" w:rsidRPr="008C482E">
        <w:rPr>
          <w:color w:val="4F81BD" w:themeColor="accent1"/>
          <w:shd w:val="clear" w:color="auto" w:fill="FFFFFF"/>
        </w:rPr>
        <w:t>ClN</w:t>
      </w:r>
      <w:r w:rsidR="008C482E" w:rsidRPr="008C482E">
        <w:rPr>
          <w:color w:val="4F81BD" w:themeColor="accent1"/>
          <w:shd w:val="clear" w:color="auto" w:fill="FFFFFF"/>
          <w:vertAlign w:val="subscript"/>
        </w:rPr>
        <w:t>5</w:t>
      </w:r>
      <w:r w:rsidR="008C482E" w:rsidRPr="008C482E">
        <w:rPr>
          <w:color w:val="4F81BD" w:themeColor="accent1"/>
          <w:shd w:val="clear" w:color="auto" w:fill="FFFFFF"/>
        </w:rPr>
        <w:t>)</w:t>
      </w:r>
      <w:r w:rsidR="00C42FB8">
        <w:rPr>
          <w:color w:val="4F81BD" w:themeColor="accent1"/>
          <w:shd w:val="clear" w:color="auto" w:fill="FFFFFF"/>
        </w:rPr>
        <w:t xml:space="preserve"> </w:t>
      </w:r>
      <w:r w:rsidR="00C42FB8" w:rsidRPr="0053620A">
        <w:rPr>
          <w:color w:val="4F81BD" w:themeColor="accent1"/>
          <w:highlight w:val="yellow"/>
          <w:shd w:val="clear" w:color="auto" w:fill="FFFFFF"/>
        </w:rPr>
        <w:t>(Fig. 1)</w:t>
      </w:r>
      <w:r w:rsidR="00D15821" w:rsidRPr="00D15821">
        <w:rPr>
          <w:color w:val="222222"/>
          <w:shd w:val="clear" w:color="auto" w:fill="FFFFFF"/>
        </w:rPr>
        <w:t xml:space="preserve"> as</w:t>
      </w:r>
      <w:r w:rsidR="00F44946">
        <w:rPr>
          <w:color w:val="222222"/>
          <w:shd w:val="clear" w:color="auto" w:fill="FFFFFF"/>
        </w:rPr>
        <w:t xml:space="preserve"> active component of Hemazin</w:t>
      </w:r>
      <w:r w:rsidR="00C42FB8">
        <w:rPr>
          <w:color w:val="222222"/>
          <w:shd w:val="clear" w:color="auto" w:fill="FFFFFF"/>
        </w:rPr>
        <w:t xml:space="preserve"> </w:t>
      </w:r>
      <w:r w:rsidR="005410D6" w:rsidRPr="00D15821">
        <w:t>SC 500</w:t>
      </w:r>
      <w:r w:rsidR="00C42FB8">
        <w:t xml:space="preserve"> </w:t>
      </w:r>
      <w:r w:rsidR="001C60BE" w:rsidRPr="00FE1513">
        <w:t>is a selective herbicide from the class of chloro-triazine</w:t>
      </w:r>
      <w:r w:rsidR="00C42FB8">
        <w:t xml:space="preserve"> </w:t>
      </w:r>
      <w:r w:rsidR="00303A19" w:rsidRPr="009C789A">
        <w:t xml:space="preserve">and it </w:t>
      </w:r>
      <w:r w:rsidR="001C60BE" w:rsidRPr="009C789A">
        <w:t>inhibits photosynthesis in broad</w:t>
      </w:r>
      <w:r w:rsidR="00C42FB8">
        <w:t xml:space="preserve"> </w:t>
      </w:r>
      <w:r w:rsidR="001C60BE" w:rsidRPr="009C789A">
        <w:t>leaf weeds.</w:t>
      </w:r>
      <w:r w:rsidR="00C42FB8">
        <w:t xml:space="preserve"> </w:t>
      </w:r>
      <w:r w:rsidR="004A7C44" w:rsidRPr="009C789A">
        <w:t xml:space="preserve">It </w:t>
      </w:r>
      <w:r w:rsidR="004A7C44" w:rsidRPr="003E1445">
        <w:t xml:space="preserve">is applied in the protection of different crops: maize, sugar cane, olives, pineapple, </w:t>
      </w:r>
      <w:r w:rsidR="004A7C44" w:rsidRPr="007F204B">
        <w:rPr>
          <w:i/>
        </w:rPr>
        <w:t>etc</w:t>
      </w:r>
      <w:r w:rsidR="004A7C44" w:rsidRPr="003E1445">
        <w:t>.</w:t>
      </w:r>
    </w:p>
    <w:p w:rsidR="008A7DEF" w:rsidRDefault="003E52FF" w:rsidP="008A7DEF">
      <w:pPr>
        <w:shd w:val="clear" w:color="auto" w:fill="auto"/>
        <w:spacing w:line="360" w:lineRule="auto"/>
        <w:jc w:val="center"/>
        <w:rPr>
          <w:color w:val="222222"/>
          <w:shd w:val="clear" w:color="auto" w:fill="FFFFFF"/>
        </w:rPr>
      </w:pPr>
      <w:commentRangeStart w:id="3"/>
      <w:r>
        <w:rPr>
          <w:noProof/>
          <w:color w:val="222222"/>
          <w:shd w:val="clear" w:color="auto" w:fill="FFFFFF"/>
        </w:rPr>
        <w:drawing>
          <wp:inline distT="0" distB="0" distL="0" distR="0">
            <wp:extent cx="2700528" cy="1411224"/>
            <wp:effectExtent l="19050" t="0" r="4572" b="0"/>
            <wp:docPr id="7" name="Picture 6" descr="Fig. 1 correct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corrected.tif"/>
                    <pic:cNvPicPr/>
                  </pic:nvPicPr>
                  <pic:blipFill>
                    <a:blip r:embed="rId10"/>
                    <a:stretch>
                      <a:fillRect/>
                    </a:stretch>
                  </pic:blipFill>
                  <pic:spPr>
                    <a:xfrm>
                      <a:off x="0" y="0"/>
                      <a:ext cx="2700528" cy="1411224"/>
                    </a:xfrm>
                    <a:prstGeom prst="rect">
                      <a:avLst/>
                    </a:prstGeom>
                  </pic:spPr>
                </pic:pic>
              </a:graphicData>
            </a:graphic>
          </wp:inline>
        </w:drawing>
      </w:r>
    </w:p>
    <w:p w:rsidR="008A7DEF" w:rsidRDefault="00C42FB8" w:rsidP="008A7DEF">
      <w:pPr>
        <w:shd w:val="clear" w:color="auto" w:fill="auto"/>
        <w:spacing w:line="360" w:lineRule="auto"/>
        <w:jc w:val="center"/>
        <w:rPr>
          <w:color w:val="4F81BD" w:themeColor="accent1"/>
        </w:rPr>
      </w:pPr>
      <w:commentRangeStart w:id="4"/>
      <w:r w:rsidRPr="00CF6C31">
        <w:rPr>
          <w:color w:val="4F81BD" w:themeColor="accent1"/>
          <w:highlight w:val="yellow"/>
          <w:shd w:val="clear" w:color="auto" w:fill="FFFFFF"/>
        </w:rPr>
        <w:t>Fig</w:t>
      </w:r>
      <w:commentRangeEnd w:id="4"/>
      <w:r w:rsidR="003E52FF" w:rsidRPr="00CF6C31">
        <w:rPr>
          <w:rStyle w:val="CommentReference"/>
          <w:rFonts w:ascii="Calibri" w:eastAsia="Calibri" w:hAnsi="Calibri"/>
          <w:highlight w:val="yellow"/>
        </w:rPr>
        <w:commentReference w:id="4"/>
      </w:r>
      <w:r w:rsidRPr="00CF6C31">
        <w:rPr>
          <w:color w:val="4F81BD" w:themeColor="accent1"/>
          <w:highlight w:val="yellow"/>
          <w:shd w:val="clear" w:color="auto" w:fill="FFFFFF"/>
        </w:rPr>
        <w:t>. 1.</w:t>
      </w:r>
      <w:r>
        <w:rPr>
          <w:color w:val="4F81BD" w:themeColor="accent1"/>
          <w:shd w:val="clear" w:color="auto" w:fill="FFFFFF"/>
        </w:rPr>
        <w:t xml:space="preserve"> </w:t>
      </w:r>
      <w:r w:rsidR="008A7DEF" w:rsidRPr="008C482E">
        <w:rPr>
          <w:color w:val="4F81BD" w:themeColor="accent1"/>
          <w:shd w:val="clear" w:color="auto" w:fill="FFFFFF"/>
        </w:rPr>
        <w:t xml:space="preserve">Structural formula of </w:t>
      </w:r>
      <w:r w:rsidR="008A7DEF" w:rsidRPr="008C482E">
        <w:rPr>
          <w:color w:val="4F81BD" w:themeColor="accent1"/>
        </w:rPr>
        <w:t>terbuthylazine</w:t>
      </w:r>
      <w:commentRangeEnd w:id="3"/>
      <w:r w:rsidR="008A7DEF">
        <w:rPr>
          <w:rStyle w:val="CommentReference"/>
          <w:rFonts w:ascii="Calibri" w:eastAsia="Calibri" w:hAnsi="Calibri"/>
        </w:rPr>
        <w:commentReference w:id="3"/>
      </w:r>
      <w:r w:rsidR="0041261D">
        <w:rPr>
          <w:color w:val="4F81BD" w:themeColor="accent1"/>
        </w:rPr>
        <w:t>.</w:t>
      </w:r>
    </w:p>
    <w:p w:rsidR="00256244" w:rsidRPr="008C482E" w:rsidRDefault="00256244" w:rsidP="008A7DEF">
      <w:pPr>
        <w:shd w:val="clear" w:color="auto" w:fill="auto"/>
        <w:spacing w:line="360" w:lineRule="auto"/>
        <w:jc w:val="center"/>
        <w:rPr>
          <w:color w:val="4F81BD" w:themeColor="accent1"/>
        </w:rPr>
      </w:pPr>
    </w:p>
    <w:p w:rsidR="00EB25C7" w:rsidRPr="001F7F4A" w:rsidRDefault="003E1445" w:rsidP="003A0010">
      <w:pPr>
        <w:tabs>
          <w:tab w:val="left" w:pos="3261"/>
        </w:tabs>
        <w:spacing w:line="360" w:lineRule="auto"/>
        <w:ind w:firstLine="709"/>
      </w:pPr>
      <w:r w:rsidRPr="003E1445">
        <w:t xml:space="preserve">The prohibition of atrazine (European Union, 2006) resulted in a significant increase </w:t>
      </w:r>
      <w:r w:rsidR="002C6794" w:rsidRPr="003E1445">
        <w:t xml:space="preserve">of </w:t>
      </w:r>
      <w:r w:rsidR="00D15821" w:rsidRPr="004A7C44">
        <w:t>terbuthylazine</w:t>
      </w:r>
      <w:r w:rsidRPr="003E1445">
        <w:t xml:space="preserve"> application. According to the U.S. EPA Office of Pesticide Programs (OPP), Carcinogen List </w:t>
      </w:r>
      <w:r w:rsidR="00D15821" w:rsidRPr="004A7C44">
        <w:t>terbuthylazine</w:t>
      </w:r>
      <w:r w:rsidR="00C42FB8">
        <w:t xml:space="preserve"> </w:t>
      </w:r>
      <w:r w:rsidRPr="003E1445">
        <w:t>exhibits slightly acute toxicity</w:t>
      </w:r>
      <w:r w:rsidR="00C42FB8">
        <w:t xml:space="preserve"> </w:t>
      </w:r>
      <w:r w:rsidRPr="003E1445">
        <w:t>(category III), does not exhibit genotoxicity (classified in group D) and is not considered a carcinogen in humans.</w:t>
      </w:r>
      <w:r w:rsidR="00793955">
        <w:rPr>
          <w:vertAlign w:val="superscript"/>
          <w:lang w:val="sr-Cyrl-BA"/>
        </w:rPr>
        <w:t xml:space="preserve">1 </w:t>
      </w:r>
      <w:r w:rsidRPr="003E1445">
        <w:t xml:space="preserve">Because the data on </w:t>
      </w:r>
      <w:r w:rsidRPr="004A7C44">
        <w:t xml:space="preserve">the </w:t>
      </w:r>
      <w:r w:rsidR="00D15821" w:rsidRPr="004A7C44">
        <w:t>terbuthylazine</w:t>
      </w:r>
      <w:r w:rsidRPr="003E1445">
        <w:t xml:space="preserve"> toxicity are incomplete or ambiguous</w:t>
      </w:r>
      <w:r w:rsidR="00216DA4">
        <w:t>,</w:t>
      </w:r>
      <w:r w:rsidR="00B9164D" w:rsidRPr="00216DA4">
        <w:t xml:space="preserve"> according to the International Agency for Research on Cancer (IARC), </w:t>
      </w:r>
      <w:r w:rsidR="00D15821" w:rsidRPr="00BE20DF">
        <w:t>terbuthylazine</w:t>
      </w:r>
      <w:r w:rsidR="00C253F3" w:rsidRPr="00216DA4">
        <w:t xml:space="preserve"> is classified in group 3 of</w:t>
      </w:r>
      <w:r w:rsidR="00216DA4">
        <w:t xml:space="preserve"> the</w:t>
      </w:r>
      <w:r w:rsidR="00C42FB8">
        <w:t xml:space="preserve"> </w:t>
      </w:r>
      <w:r w:rsidR="00B9164D" w:rsidRPr="00216DA4">
        <w:t>Carcinogen List: unclassifiable.</w:t>
      </w:r>
      <w:r w:rsidR="00C42FB8">
        <w:t xml:space="preserve"> </w:t>
      </w:r>
      <w:r w:rsidR="008C482E" w:rsidRPr="003A0010">
        <w:rPr>
          <w:color w:val="0070C0"/>
        </w:rPr>
        <w:t>There are not many studies on the toxicity of terbuthylazine and its metabolism in human organism.</w:t>
      </w:r>
      <w:r w:rsidR="00944EA0">
        <w:rPr>
          <w:color w:val="0070C0"/>
        </w:rPr>
        <w:t xml:space="preserve"> </w:t>
      </w:r>
      <w:r w:rsidR="008C482E" w:rsidRPr="003A0010">
        <w:rPr>
          <w:color w:val="0070C0"/>
        </w:rPr>
        <w:t>However, in experiments on rats it has been shown that the major metabolic pathway of terbuthylazine is hydrolysis of chlorine and mono and didealkylation, as well as hydroxylation of one or both dialkylamino groups of amines. Also, studies on rats have shown that terbuthylazine rapidly excreted from the body, completely metabolized and not accumulated in the tissue.</w:t>
      </w:r>
      <w:r w:rsidR="00793955" w:rsidRPr="003A0010">
        <w:rPr>
          <w:color w:val="0070C0"/>
          <w:vertAlign w:val="superscript"/>
          <w:lang w:val="sr-Cyrl-BA"/>
        </w:rPr>
        <w:t>2</w:t>
      </w:r>
    </w:p>
    <w:p w:rsidR="00EB25C7" w:rsidRPr="00793955" w:rsidRDefault="003E1445">
      <w:pPr>
        <w:spacing w:line="360" w:lineRule="auto"/>
        <w:ind w:firstLine="709"/>
        <w:rPr>
          <w:lang w:val="sr-Cyrl-BA"/>
        </w:rPr>
      </w:pPr>
      <w:r w:rsidRPr="004E63AA">
        <w:t>It has been shown in the literature that</w:t>
      </w:r>
      <w:r w:rsidRPr="003E1445">
        <w:t xml:space="preserve"> erythrocytes represent a good model for the study of toxic effects of pesticides on human organism.</w:t>
      </w:r>
      <w:r w:rsidR="00793955">
        <w:rPr>
          <w:vertAlign w:val="superscript"/>
          <w:lang w:val="sr-Cyrl-BA"/>
        </w:rPr>
        <w:t>3</w:t>
      </w:r>
      <w:r w:rsidRPr="003E1445">
        <w:t xml:space="preserve"> Due to self-oxidation of hemoglobin and the presence of high content of polyunsaturated fatty acids, erythrocytes are susceptible to ROS (reactive oxygen species </w:t>
      </w:r>
      <w:r w:rsidR="00D33F49">
        <w:t>-</w:t>
      </w:r>
      <w:r w:rsidR="00D33F49" w:rsidRPr="003E1445">
        <w:t xml:space="preserve"> </w:t>
      </w:r>
      <w:r w:rsidRPr="003E1445">
        <w:t>superoxide anion radical (O</w:t>
      </w:r>
      <w:r w:rsidRPr="003E1445">
        <w:rPr>
          <w:vertAlign w:val="subscript"/>
        </w:rPr>
        <w:t>2</w:t>
      </w:r>
      <w:r w:rsidR="00D15821" w:rsidRPr="00D15821">
        <w:rPr>
          <w:b/>
          <w:vertAlign w:val="superscript"/>
        </w:rPr>
        <w:t>.</w:t>
      </w:r>
      <w:r w:rsidRPr="003E1445">
        <w:rPr>
          <w:vertAlign w:val="superscript"/>
        </w:rPr>
        <w:t>-</w:t>
      </w:r>
      <w:r w:rsidRPr="003E1445">
        <w:t>), hydrogen peroxide (H</w:t>
      </w:r>
      <w:r w:rsidRPr="003E1445">
        <w:rPr>
          <w:vertAlign w:val="subscript"/>
        </w:rPr>
        <w:t>2</w:t>
      </w:r>
      <w:r w:rsidRPr="003E1445">
        <w:t>O</w:t>
      </w:r>
      <w:r w:rsidRPr="003E1445">
        <w:rPr>
          <w:vertAlign w:val="subscript"/>
        </w:rPr>
        <w:t>2</w:t>
      </w:r>
      <w:r w:rsidRPr="003E1445">
        <w:t>) and hydroxyl radical (OH</w:t>
      </w:r>
      <w:r w:rsidR="00D15821" w:rsidRPr="00D15821">
        <w:rPr>
          <w:b/>
          <w:vertAlign w:val="superscript"/>
        </w:rPr>
        <w:t>.</w:t>
      </w:r>
      <w:r w:rsidRPr="003E1445">
        <w:t xml:space="preserve">)) formation. There is evidence that pesticides cause increased </w:t>
      </w:r>
      <w:r w:rsidRPr="003E1445">
        <w:lastRenderedPageBreak/>
        <w:t>production of ROS in erythrocytes.</w:t>
      </w:r>
      <w:r w:rsidR="00793955">
        <w:rPr>
          <w:vertAlign w:val="superscript"/>
          <w:lang w:val="sr-Cyrl-BA"/>
        </w:rPr>
        <w:t xml:space="preserve">4 </w:t>
      </w:r>
      <w:r w:rsidRPr="003E1445">
        <w:t>Moreover, triazine pesticides (atrazine) show the same effect in erythrocytes.</w:t>
      </w:r>
      <w:r w:rsidR="00793955">
        <w:rPr>
          <w:vertAlign w:val="superscript"/>
          <w:lang w:val="sr-Cyrl-BA"/>
        </w:rPr>
        <w:t xml:space="preserve">5 </w:t>
      </w:r>
      <w:r w:rsidRPr="003E1445">
        <w:t xml:space="preserve">On the other hand, to our knowledge, there are no data on </w:t>
      </w:r>
      <w:r w:rsidR="00D15821" w:rsidRPr="00BE20DF">
        <w:t>terbuthylazine</w:t>
      </w:r>
      <w:r w:rsidRPr="00BE20DF">
        <w:t xml:space="preserve"> i</w:t>
      </w:r>
      <w:r w:rsidRPr="003E1445">
        <w:t xml:space="preserve">mpact on human erythrocytes. It was shown that </w:t>
      </w:r>
      <w:r w:rsidR="00D15821" w:rsidRPr="00BE20DF">
        <w:t>terbuthylazine</w:t>
      </w:r>
      <w:r w:rsidRPr="00BE20DF">
        <w:t xml:space="preserve"> i</w:t>
      </w:r>
      <w:r w:rsidRPr="003E1445">
        <w:t>n algal cells lead to ROS formation.</w:t>
      </w:r>
      <w:r w:rsidR="00793955">
        <w:rPr>
          <w:vertAlign w:val="superscript"/>
          <w:lang w:val="sr-Cyrl-BA"/>
        </w:rPr>
        <w:t xml:space="preserve">6 </w:t>
      </w:r>
      <w:r w:rsidRPr="003E1445">
        <w:t xml:space="preserve">Also, the major products of degradation of </w:t>
      </w:r>
      <w:r w:rsidR="00D15821" w:rsidRPr="00BE20DF">
        <w:t>terbuthylazine</w:t>
      </w:r>
      <w:r w:rsidRPr="00BE20DF">
        <w:t>:</w:t>
      </w:r>
      <w:r w:rsidR="00944EA0">
        <w:t xml:space="preserve"> </w:t>
      </w:r>
      <w:r w:rsidR="00D15821" w:rsidRPr="00BE20DF">
        <w:t>terbuthylazine</w:t>
      </w:r>
      <w:r w:rsidRPr="00BE20DF">
        <w:t>-</w:t>
      </w:r>
      <w:r w:rsidRPr="003E1445">
        <w:t xml:space="preserve">desethyl and </w:t>
      </w:r>
      <w:r w:rsidR="00D15821" w:rsidRPr="00BE20DF">
        <w:t>terbuthylazine</w:t>
      </w:r>
      <w:r w:rsidRPr="003E1445">
        <w:t>-2-hydroxy,</w:t>
      </w:r>
      <w:r w:rsidR="00793955">
        <w:rPr>
          <w:vertAlign w:val="superscript"/>
          <w:lang w:val="sr-Cyrl-BA"/>
        </w:rPr>
        <w:t xml:space="preserve">7 </w:t>
      </w:r>
      <w:r w:rsidRPr="003E1445">
        <w:t>cause the formation of ROS in carp</w:t>
      </w:r>
      <w:r w:rsidR="00793955">
        <w:rPr>
          <w:vertAlign w:val="superscript"/>
          <w:lang w:val="sr-Cyrl-BA"/>
        </w:rPr>
        <w:t xml:space="preserve">8 </w:t>
      </w:r>
      <w:r w:rsidRPr="003E1445">
        <w:t>and</w:t>
      </w:r>
      <w:r w:rsidR="00944EA0">
        <w:t xml:space="preserve"> </w:t>
      </w:r>
      <w:r w:rsidRPr="003E1445">
        <w:t>red swamp crayfish.</w:t>
      </w:r>
      <w:r w:rsidR="00793955">
        <w:rPr>
          <w:vertAlign w:val="superscript"/>
          <w:lang w:val="sr-Cyrl-BA"/>
        </w:rPr>
        <w:t>9</w:t>
      </w:r>
    </w:p>
    <w:p w:rsidR="00EB25C7" w:rsidRDefault="003E1445">
      <w:pPr>
        <w:spacing w:line="360" w:lineRule="auto"/>
        <w:ind w:firstLine="709"/>
      </w:pPr>
      <w:r w:rsidRPr="003E1445">
        <w:t xml:space="preserve">The main antioxidants in erythrocytes are </w:t>
      </w:r>
      <w:r w:rsidRPr="003E1445">
        <w:rPr>
          <w:rFonts w:eastAsia="METRO"/>
        </w:rPr>
        <w:t>antioxidative enzymes</w:t>
      </w:r>
      <w:r w:rsidRPr="003E1445">
        <w:t xml:space="preserve">: copper-zinc superoxide dismutase </w:t>
      </w:r>
      <w:r w:rsidRPr="003E1445">
        <w:rPr>
          <w:rFonts w:eastAsia="METRO"/>
        </w:rPr>
        <w:t>(</w:t>
      </w:r>
      <w:r w:rsidR="00BE38C1">
        <w:rPr>
          <w:rFonts w:eastAsia="METRO"/>
        </w:rPr>
        <w:t xml:space="preserve">SOD1, </w:t>
      </w:r>
      <w:r w:rsidRPr="003E1445">
        <w:rPr>
          <w:rFonts w:eastAsia="METRO"/>
        </w:rPr>
        <w:t>CuZnSOD, EC 1.11.16)</w:t>
      </w:r>
      <w:r w:rsidRPr="003E1445">
        <w:t xml:space="preserve">, catalase </w:t>
      </w:r>
      <w:r w:rsidRPr="003E1445">
        <w:rPr>
          <w:rFonts w:eastAsia="METRO"/>
        </w:rPr>
        <w:t>(CAT, EC 1.11.1.6)</w:t>
      </w:r>
      <w:r w:rsidRPr="003E1445">
        <w:t xml:space="preserve"> and glutathione-S-transferase</w:t>
      </w:r>
      <w:r w:rsidR="00944EA0">
        <w:t xml:space="preserve"> </w:t>
      </w:r>
      <w:r w:rsidRPr="003E1445">
        <w:rPr>
          <w:rFonts w:eastAsia="METRO"/>
        </w:rPr>
        <w:t>(</w:t>
      </w:r>
      <w:r w:rsidRPr="003E1445">
        <w:t>GST, EC 2.5.1.18)</w:t>
      </w:r>
      <w:r w:rsidRPr="003E1445">
        <w:rPr>
          <w:rFonts w:eastAsia="METRO"/>
        </w:rPr>
        <w:t>. The response of antioxidative enzymes in pesticide-treated erythrocytes has been demonstrated</w:t>
      </w:r>
      <w:r w:rsidRPr="003E1445">
        <w:t>.</w:t>
      </w:r>
      <w:r w:rsidR="00793955">
        <w:rPr>
          <w:vertAlign w:val="superscript"/>
          <w:lang w:val="sr-Cyrl-BA"/>
        </w:rPr>
        <w:t>3</w:t>
      </w:r>
      <w:r w:rsidR="004E63AA">
        <w:rPr>
          <w:vertAlign w:val="superscript"/>
        </w:rPr>
        <w:t>,</w:t>
      </w:r>
      <w:r w:rsidR="00793955">
        <w:rPr>
          <w:rFonts w:eastAsia="METRO"/>
          <w:vertAlign w:val="superscript"/>
          <w:lang w:val="sr-Cyrl-BA"/>
        </w:rPr>
        <w:t>10</w:t>
      </w:r>
      <w:r w:rsidR="00944EA0">
        <w:rPr>
          <w:rFonts w:eastAsia="METRO"/>
          <w:vertAlign w:val="superscript"/>
        </w:rPr>
        <w:t xml:space="preserve"> </w:t>
      </w:r>
      <w:r w:rsidR="00F83A2D" w:rsidRPr="004E63AA">
        <w:t xml:space="preserve">Up till now, there were no reports published for the treatment of human erythrocytes with </w:t>
      </w:r>
      <w:r w:rsidR="0043510E" w:rsidRPr="00A80C65">
        <w:t>terbuthylazine</w:t>
      </w:r>
      <w:r w:rsidR="00944EA0">
        <w:t xml:space="preserve"> </w:t>
      </w:r>
      <w:r w:rsidR="00F83A2D" w:rsidRPr="004E63AA">
        <w:rPr>
          <w:i/>
        </w:rPr>
        <w:t>in vitro</w:t>
      </w:r>
      <w:r w:rsidR="00F83A2D" w:rsidRPr="004E63AA">
        <w:t>.</w:t>
      </w:r>
    </w:p>
    <w:p w:rsidR="00EB25C7" w:rsidRDefault="008D334E">
      <w:pPr>
        <w:spacing w:line="360" w:lineRule="auto"/>
        <w:ind w:firstLine="709"/>
      </w:pPr>
      <w:r>
        <w:t>R</w:t>
      </w:r>
      <w:r w:rsidRPr="008D334E">
        <w:t xml:space="preserve">ecent </w:t>
      </w:r>
      <w:r>
        <w:t xml:space="preserve">research </w:t>
      </w:r>
      <w:r w:rsidRPr="008D334E">
        <w:t>showed</w:t>
      </w:r>
      <w:r w:rsidR="00944EA0">
        <w:t xml:space="preserve"> </w:t>
      </w:r>
      <w:r w:rsidR="00797060" w:rsidRPr="004E63AA">
        <w:t xml:space="preserve">that </w:t>
      </w:r>
      <w:r w:rsidR="0043510E" w:rsidRPr="00A80C65">
        <w:t>terbuthylazine</w:t>
      </w:r>
      <w:r w:rsidR="00797060" w:rsidRPr="004E63AA">
        <w:t xml:space="preserve"> lead to DNA damage</w:t>
      </w:r>
      <w:r w:rsidR="00793955">
        <w:rPr>
          <w:vertAlign w:val="superscript"/>
          <w:lang w:val="sr-Cyrl-BA"/>
        </w:rPr>
        <w:t>11</w:t>
      </w:r>
      <w:r w:rsidR="00263CB8">
        <w:t xml:space="preserve"> and </w:t>
      </w:r>
      <w:r w:rsidR="00263CB8" w:rsidRPr="00263CB8">
        <w:rPr>
          <w:rFonts w:eastAsia="Calibri"/>
          <w:color w:val="131413"/>
        </w:rPr>
        <w:t>DNA</w:t>
      </w:r>
      <w:r w:rsidR="00944EA0">
        <w:rPr>
          <w:rFonts w:eastAsia="Calibri"/>
          <w:color w:val="131413"/>
        </w:rPr>
        <w:t xml:space="preserve"> </w:t>
      </w:r>
      <w:r w:rsidR="00815F9C" w:rsidRPr="00263CB8">
        <w:rPr>
          <w:rFonts w:eastAsia="Calibri"/>
          <w:color w:val="131413"/>
        </w:rPr>
        <w:t>instability</w:t>
      </w:r>
      <w:r w:rsidR="00944EA0">
        <w:rPr>
          <w:rFonts w:eastAsia="Calibri"/>
          <w:color w:val="131413"/>
        </w:rPr>
        <w:t xml:space="preserve"> </w:t>
      </w:r>
      <w:r w:rsidR="008C482E" w:rsidRPr="008C482E">
        <w:rPr>
          <w:color w:val="FF0000"/>
        </w:rPr>
        <w:t>in the culture of leukocytes</w:t>
      </w:r>
      <w:r w:rsidR="00944EA0">
        <w:rPr>
          <w:color w:val="FF0000"/>
        </w:rPr>
        <w:t xml:space="preserve"> </w:t>
      </w:r>
      <w:r w:rsidR="008C482E" w:rsidRPr="008C482E">
        <w:rPr>
          <w:rFonts w:eastAsia="Calibri"/>
          <w:color w:val="FF0000"/>
        </w:rPr>
        <w:t>and inhibition of SOD1 activity in er</w:t>
      </w:r>
      <w:r w:rsidR="008C482E" w:rsidRPr="008C482E">
        <w:rPr>
          <w:rFonts w:eastAsia="Calibri"/>
          <w:color w:val="FF0000"/>
          <w:lang w:val="sr-Latn-BA"/>
        </w:rPr>
        <w:t>ythrocytes after treatmen of whoole blood</w:t>
      </w:r>
      <w:r w:rsidR="008C482E" w:rsidRPr="008C482E">
        <w:rPr>
          <w:rFonts w:eastAsia="Calibri"/>
          <w:color w:val="FF0000"/>
        </w:rPr>
        <w:t>.</w:t>
      </w:r>
      <w:r w:rsidR="00793955">
        <w:rPr>
          <w:color w:val="FF0000"/>
          <w:vertAlign w:val="superscript"/>
          <w:lang w:val="sr-Cyrl-BA"/>
        </w:rPr>
        <w:t>12</w:t>
      </w:r>
      <w:r w:rsidR="008C482E" w:rsidRPr="008C482E">
        <w:rPr>
          <w:color w:val="FF0000"/>
        </w:rPr>
        <w:t xml:space="preserve"> Increases in the use of terbuthylazine and the lack of data on its toxicity point to the importance of examining its impact not only on humans but also on other living organisms. Also</w:t>
      </w:r>
      <w:r w:rsidR="008A7DEF">
        <w:rPr>
          <w:color w:val="FF0000"/>
        </w:rPr>
        <w:t>,</w:t>
      </w:r>
      <w:r w:rsidR="008C482E" w:rsidRPr="008C482E">
        <w:rPr>
          <w:color w:val="FF0000"/>
        </w:rPr>
        <w:t xml:space="preserve"> the problem with the use of terbutilazine can be its stability and the stability of products of its degradation in soil and water,</w:t>
      </w:r>
      <w:r w:rsidR="00793955">
        <w:rPr>
          <w:color w:val="FF0000"/>
          <w:vertAlign w:val="superscript"/>
          <w:lang w:val="sr-Cyrl-BA"/>
        </w:rPr>
        <w:t>7</w:t>
      </w:r>
      <w:r w:rsidR="008C482E" w:rsidRPr="008C482E">
        <w:rPr>
          <w:color w:val="FF0000"/>
        </w:rPr>
        <w:t xml:space="preserve"> which are extremely toxic to aquatic organisms</w:t>
      </w:r>
      <w:r w:rsidR="003340E5" w:rsidRPr="003E1445">
        <w:t>.</w:t>
      </w:r>
      <w:r w:rsidR="00793955" w:rsidRPr="003C25DF">
        <w:rPr>
          <w:color w:val="FF0000"/>
          <w:vertAlign w:val="superscript"/>
          <w:lang w:val="sr-Cyrl-BA"/>
        </w:rPr>
        <w:t>8</w:t>
      </w:r>
    </w:p>
    <w:p w:rsidR="00EB25C7" w:rsidRDefault="003E1445">
      <w:pPr>
        <w:spacing w:line="360" w:lineRule="auto"/>
        <w:ind w:firstLine="709"/>
      </w:pPr>
      <w:r w:rsidRPr="003E1445">
        <w:t>Therefore, the aim of this study was to examine the changes in antioxidant activity enzymes in erythrocytes</w:t>
      </w:r>
      <w:r w:rsidR="00ED380F">
        <w:t xml:space="preserve"> </w:t>
      </w:r>
      <w:r w:rsidR="008C482E" w:rsidRPr="008C482E">
        <w:rPr>
          <w:color w:val="FF0000"/>
        </w:rPr>
        <w:t>(SOD1 and CAT</w:t>
      </w:r>
      <w:r w:rsidR="00ED380F">
        <w:rPr>
          <w:color w:val="FF0000"/>
        </w:rPr>
        <w:t xml:space="preserve"> </w:t>
      </w:r>
      <w:r w:rsidR="008C482E" w:rsidRPr="008C482E">
        <w:rPr>
          <w:color w:val="FF0000"/>
        </w:rPr>
        <w:t>as</w:t>
      </w:r>
      <w:r w:rsidR="00ED380F">
        <w:rPr>
          <w:color w:val="FF0000"/>
        </w:rPr>
        <w:t xml:space="preserve"> </w:t>
      </w:r>
      <w:commentRangeStart w:id="5"/>
      <w:commentRangeStart w:id="6"/>
      <w:r w:rsidR="0082738D" w:rsidRPr="00CA34A8">
        <w:rPr>
          <w:color w:val="FF0000"/>
          <w:highlight w:val="yellow"/>
        </w:rPr>
        <w:t>enzymes</w:t>
      </w:r>
      <w:commentRangeEnd w:id="5"/>
      <w:r w:rsidR="008A7DEF" w:rsidRPr="00CA34A8">
        <w:rPr>
          <w:rStyle w:val="CommentReference"/>
          <w:rFonts w:ascii="Calibri" w:eastAsia="Calibri" w:hAnsi="Calibri"/>
          <w:highlight w:val="yellow"/>
        </w:rPr>
        <w:commentReference w:id="5"/>
      </w:r>
      <w:commentRangeEnd w:id="6"/>
      <w:r w:rsidR="00CA34A8">
        <w:rPr>
          <w:rStyle w:val="CommentReference"/>
          <w:rFonts w:ascii="Calibri" w:eastAsia="Calibri" w:hAnsi="Calibri"/>
        </w:rPr>
        <w:commentReference w:id="6"/>
      </w:r>
      <w:r w:rsidR="00ED380F">
        <w:rPr>
          <w:color w:val="FF0000"/>
        </w:rPr>
        <w:t xml:space="preserve"> </w:t>
      </w:r>
      <w:r w:rsidR="008C482E" w:rsidRPr="008C482E">
        <w:rPr>
          <w:color w:val="FF0000"/>
        </w:rPr>
        <w:t xml:space="preserve">of the first line of defense against ROS and GST as an enzyme of biotransformation) after </w:t>
      </w:r>
      <w:r w:rsidR="008C482E" w:rsidRPr="008C482E">
        <w:rPr>
          <w:color w:val="4F81BD" w:themeColor="accent1"/>
        </w:rPr>
        <w:t>acute</w:t>
      </w:r>
      <w:r w:rsidR="008C482E" w:rsidRPr="008C482E">
        <w:rPr>
          <w:color w:val="FF0000"/>
        </w:rPr>
        <w:t xml:space="preserve"> exposure to </w:t>
      </w:r>
      <w:r w:rsidR="008C482E" w:rsidRPr="008C482E">
        <w:rPr>
          <w:color w:val="FF0000"/>
          <w:lang w:eastAsia="en-GB"/>
        </w:rPr>
        <w:t xml:space="preserve">commercial herbicide Hemazin SC 500 with </w:t>
      </w:r>
      <w:r w:rsidRPr="003E1445">
        <w:t xml:space="preserve">a </w:t>
      </w:r>
      <w:r w:rsidRPr="00B87E9C">
        <w:t>terbuthylazine</w:t>
      </w:r>
      <w:r w:rsidR="00944EA0">
        <w:t xml:space="preserve"> </w:t>
      </w:r>
      <w:r w:rsidR="00E64560" w:rsidRPr="009C1835">
        <w:rPr>
          <w:lang w:eastAsia="en-GB"/>
        </w:rPr>
        <w:t>as an active compound</w:t>
      </w:r>
      <w:r w:rsidRPr="003E1445">
        <w:t xml:space="preserve">. </w:t>
      </w:r>
    </w:p>
    <w:p w:rsidR="00EB25C7" w:rsidRDefault="00EB25C7">
      <w:pPr>
        <w:spacing w:line="360" w:lineRule="auto"/>
        <w:ind w:firstLine="720"/>
      </w:pPr>
    </w:p>
    <w:p w:rsidR="00EB25C7" w:rsidRDefault="009A38C0">
      <w:pPr>
        <w:spacing w:line="360" w:lineRule="auto"/>
        <w:jc w:val="center"/>
      </w:pPr>
      <w:r w:rsidRPr="009A38C0">
        <w:t>EXPERIMENTAL</w:t>
      </w:r>
    </w:p>
    <w:p w:rsidR="00EB25C7" w:rsidRDefault="000B09B8" w:rsidP="003C25DF">
      <w:pPr>
        <w:pStyle w:val="NoSpacing"/>
        <w:tabs>
          <w:tab w:val="left" w:pos="567"/>
          <w:tab w:val="left" w:pos="709"/>
        </w:tabs>
        <w:spacing w:line="360" w:lineRule="auto"/>
        <w:jc w:val="both"/>
        <w:rPr>
          <w:rFonts w:ascii="Times New Roman" w:hAnsi="Times New Roman"/>
          <w:i/>
          <w:sz w:val="24"/>
          <w:szCs w:val="24"/>
          <w:lang w:val="en-US"/>
        </w:rPr>
      </w:pPr>
      <w:r w:rsidRPr="00BF373A">
        <w:rPr>
          <w:rFonts w:ascii="Times New Roman" w:hAnsi="Times New Roman"/>
          <w:i/>
          <w:sz w:val="24"/>
          <w:szCs w:val="24"/>
          <w:lang w:val="en-US"/>
        </w:rPr>
        <w:t>Reagent</w:t>
      </w:r>
      <w:r w:rsidRPr="00564A74">
        <w:rPr>
          <w:rFonts w:ascii="Times New Roman" w:hAnsi="Times New Roman"/>
          <w:i/>
          <w:sz w:val="24"/>
          <w:szCs w:val="24"/>
          <w:lang w:val="en-US"/>
        </w:rPr>
        <w:t>s</w:t>
      </w:r>
    </w:p>
    <w:p w:rsidR="00EB25C7" w:rsidRDefault="002422C1" w:rsidP="003C25DF">
      <w:pPr>
        <w:shd w:val="clear" w:color="auto" w:fill="auto"/>
        <w:autoSpaceDE w:val="0"/>
        <w:autoSpaceDN w:val="0"/>
        <w:adjustRightInd w:val="0"/>
        <w:spacing w:line="360" w:lineRule="auto"/>
        <w:ind w:firstLine="720"/>
      </w:pPr>
      <w:r>
        <w:rPr>
          <w:lang w:val="sr-Latn-BA"/>
        </w:rPr>
        <w:t>C</w:t>
      </w:r>
      <w:r w:rsidRPr="005B74F8">
        <w:rPr>
          <w:lang w:val="sr-Latn-BA"/>
        </w:rPr>
        <w:t xml:space="preserve">ommercial product </w:t>
      </w:r>
      <w:r w:rsidR="005B74F8" w:rsidRPr="005B74F8">
        <w:t>Hemazine</w:t>
      </w:r>
      <w:r w:rsidR="009C0A3A">
        <w:t xml:space="preserve"> SC 500 </w:t>
      </w:r>
      <w:r w:rsidR="00C912F2">
        <w:rPr>
          <w:rFonts w:eastAsia="Calibri"/>
          <w:color w:val="131413"/>
        </w:rPr>
        <w:t>with</w:t>
      </w:r>
      <w:r w:rsidRPr="005B74F8">
        <w:rPr>
          <w:rFonts w:eastAsia="Calibri"/>
          <w:color w:val="131413"/>
        </w:rPr>
        <w:t xml:space="preserve"> 500 g/L</w:t>
      </w:r>
      <w:r w:rsidR="00944EA0">
        <w:rPr>
          <w:rFonts w:eastAsia="Calibri"/>
          <w:color w:val="131413"/>
        </w:rPr>
        <w:t xml:space="preserve"> </w:t>
      </w:r>
      <w:r w:rsidRPr="005B74F8">
        <w:rPr>
          <w:rFonts w:eastAsia="Calibri"/>
          <w:color w:val="131413"/>
        </w:rPr>
        <w:t xml:space="preserve">of </w:t>
      </w:r>
      <w:r w:rsidR="00115CA7" w:rsidRPr="00127AD7">
        <w:t>t</w:t>
      </w:r>
      <w:r w:rsidR="00115CA7" w:rsidRPr="008C172E">
        <w:t>erbuthylazine</w:t>
      </w:r>
      <w:r w:rsidR="00944EA0">
        <w:t xml:space="preserve"> </w:t>
      </w:r>
      <w:r w:rsidR="008C172E">
        <w:rPr>
          <w:lang w:val="sr-Latn-BA"/>
        </w:rPr>
        <w:t>(N</w:t>
      </w:r>
      <w:r w:rsidR="008C172E">
        <w:rPr>
          <w:vertAlign w:val="superscript"/>
          <w:lang w:val="sr-Latn-BA"/>
        </w:rPr>
        <w:t>2</w:t>
      </w:r>
      <w:r w:rsidR="008C172E">
        <w:rPr>
          <w:lang w:val="sr-Latn-BA"/>
        </w:rPr>
        <w:t>-tert-butyl-6-chloro-N</w:t>
      </w:r>
      <w:r w:rsidR="008C172E">
        <w:rPr>
          <w:vertAlign w:val="superscript"/>
          <w:lang w:val="sr-Latn-BA"/>
        </w:rPr>
        <w:t>4</w:t>
      </w:r>
      <w:r w:rsidR="008C172E">
        <w:rPr>
          <w:lang w:val="sr-Latn-BA"/>
        </w:rPr>
        <w:t>-ethyl-1,3,5-triazine-2,4-diamine)</w:t>
      </w:r>
      <w:r>
        <w:t xml:space="preserve"> as</w:t>
      </w:r>
      <w:r w:rsidRPr="005B74F8">
        <w:rPr>
          <w:rFonts w:eastAsia="Calibri"/>
          <w:color w:val="131413"/>
        </w:rPr>
        <w:t xml:space="preserve"> active substance</w:t>
      </w:r>
      <w:r>
        <w:rPr>
          <w:rFonts w:eastAsia="Calibri"/>
          <w:color w:val="131413"/>
        </w:rPr>
        <w:t xml:space="preserve"> was </w:t>
      </w:r>
      <w:r w:rsidRPr="00037A4C">
        <w:t>purchased</w:t>
      </w:r>
      <w:r w:rsidRPr="005B74F8">
        <w:t xml:space="preserve"> by Agromarket (Serbia)</w:t>
      </w:r>
      <w:r>
        <w:t>.</w:t>
      </w:r>
      <w:r w:rsidR="00944EA0">
        <w:t xml:space="preserve"> </w:t>
      </w:r>
      <w:r w:rsidR="00037A4C" w:rsidRPr="005B74F8">
        <w:t>V</w:t>
      </w:r>
      <w:r w:rsidR="00C23E5A" w:rsidRPr="005B74F8">
        <w:t>acut</w:t>
      </w:r>
      <w:r w:rsidR="00C23E5A" w:rsidRPr="00037A4C">
        <w:t>ainer</w:t>
      </w:r>
      <w:r w:rsidR="00BE5A93">
        <w:t>s</w:t>
      </w:r>
      <w:r w:rsidR="00037A4C" w:rsidRPr="00037A4C">
        <w:t xml:space="preserve"> for blood sampling </w:t>
      </w:r>
      <w:r w:rsidR="00037A4C">
        <w:t xml:space="preserve">with </w:t>
      </w:r>
      <w:r w:rsidR="00E60859" w:rsidRPr="00A71D92">
        <w:rPr>
          <w:bCs/>
        </w:rPr>
        <w:t>3.2</w:t>
      </w:r>
      <w:r w:rsidR="00E60859" w:rsidRPr="00A71D92">
        <w:rPr>
          <w:shd w:val="clear" w:color="auto" w:fill="FFFFFF"/>
        </w:rPr>
        <w:t>%</w:t>
      </w:r>
      <w:r w:rsidR="00944EA0">
        <w:rPr>
          <w:shd w:val="clear" w:color="auto" w:fill="FFFFFF"/>
        </w:rPr>
        <w:t xml:space="preserve"> </w:t>
      </w:r>
      <w:r w:rsidR="00393283" w:rsidRPr="00A71D92">
        <w:rPr>
          <w:bCs/>
        </w:rPr>
        <w:t>s</w:t>
      </w:r>
      <w:r w:rsidR="00037A4C" w:rsidRPr="00A71D92">
        <w:rPr>
          <w:bCs/>
        </w:rPr>
        <w:t xml:space="preserve">odium </w:t>
      </w:r>
      <w:r w:rsidR="00393283" w:rsidRPr="00A71D92">
        <w:rPr>
          <w:bCs/>
        </w:rPr>
        <w:t>c</w:t>
      </w:r>
      <w:r w:rsidR="00037A4C" w:rsidRPr="00A71D92">
        <w:rPr>
          <w:bCs/>
        </w:rPr>
        <w:t>itrate</w:t>
      </w:r>
      <w:r w:rsidR="00944EA0">
        <w:rPr>
          <w:bCs/>
        </w:rPr>
        <w:t xml:space="preserve"> </w:t>
      </w:r>
      <w:r w:rsidR="00393283" w:rsidRPr="00A71D92">
        <w:rPr>
          <w:shd w:val="clear" w:color="auto" w:fill="FFFFFF"/>
        </w:rPr>
        <w:t>s</w:t>
      </w:r>
      <w:r w:rsidR="00037A4C" w:rsidRPr="00A71D92">
        <w:rPr>
          <w:shd w:val="clear" w:color="auto" w:fill="FFFFFF"/>
        </w:rPr>
        <w:t>olution</w:t>
      </w:r>
      <w:r w:rsidR="00944EA0">
        <w:rPr>
          <w:shd w:val="clear" w:color="auto" w:fill="FFFFFF"/>
        </w:rPr>
        <w:t xml:space="preserve"> </w:t>
      </w:r>
      <w:r w:rsidR="00037A4C" w:rsidRPr="00037A4C">
        <w:t>were purchased</w:t>
      </w:r>
      <w:r w:rsidR="00037A4C">
        <w:t xml:space="preserve"> from </w:t>
      </w:r>
      <w:r w:rsidR="00037A4C" w:rsidRPr="00A71D92">
        <w:rPr>
          <w:bCs/>
        </w:rPr>
        <w:t xml:space="preserve">Greiner </w:t>
      </w:r>
      <w:r w:rsidR="00037A4C" w:rsidRPr="00037A4C">
        <w:rPr>
          <w:bCs/>
        </w:rPr>
        <w:t>Bio-One</w:t>
      </w:r>
      <w:r w:rsidR="00CA34A8">
        <w:rPr>
          <w:bCs/>
        </w:rPr>
        <w:t xml:space="preserve"> </w:t>
      </w:r>
      <w:r w:rsidR="00037A4C" w:rsidRPr="00037A4C">
        <w:rPr>
          <w:shd w:val="clear" w:color="auto" w:fill="FFFFFF"/>
        </w:rPr>
        <w:t>(Austria)</w:t>
      </w:r>
      <w:r w:rsidR="00037A4C">
        <w:rPr>
          <w:shd w:val="clear" w:color="auto" w:fill="FFFFFF"/>
        </w:rPr>
        <w:t>.</w:t>
      </w:r>
      <w:r w:rsidR="00944EA0">
        <w:rPr>
          <w:shd w:val="clear" w:color="auto" w:fill="FFFFFF"/>
        </w:rPr>
        <w:t xml:space="preserve"> </w:t>
      </w:r>
      <w:r w:rsidR="00BE5A93" w:rsidRPr="00BF373A">
        <w:t>Nitro Blue Tetrazolium (NBT)</w:t>
      </w:r>
      <w:r w:rsidR="00944EA0">
        <w:t xml:space="preserve"> </w:t>
      </w:r>
      <w:r w:rsidR="00BE5A93" w:rsidRPr="00BF373A">
        <w:t xml:space="preserve">and tetramethylethylenediamine (TEMED) </w:t>
      </w:r>
      <w:r w:rsidR="00BE5A93">
        <w:t>were</w:t>
      </w:r>
      <w:r w:rsidR="00944EA0">
        <w:t xml:space="preserve"> </w:t>
      </w:r>
      <w:r w:rsidR="00BE5A93" w:rsidRPr="00037A4C">
        <w:t>purchased</w:t>
      </w:r>
      <w:r w:rsidR="00BE5A93" w:rsidRPr="00BF373A">
        <w:t xml:space="preserve"> from Fisher Bioreagents (USA), riboflavin and </w:t>
      </w:r>
      <w:r w:rsidR="00FF7A97" w:rsidRPr="00BF373A">
        <w:t>glycerin</w:t>
      </w:r>
      <w:r w:rsidR="00BE5A93" w:rsidRPr="00BF373A">
        <w:t xml:space="preserve"> from Semikem (</w:t>
      </w:r>
      <w:r w:rsidR="00FF7A97" w:rsidRPr="00BF373A">
        <w:t>B</w:t>
      </w:r>
      <w:r w:rsidR="00FF7A97">
        <w:t>&amp;</w:t>
      </w:r>
      <w:r w:rsidR="00FF7A97" w:rsidRPr="00BF373A">
        <w:t>H</w:t>
      </w:r>
      <w:r w:rsidR="00BE5A93" w:rsidRPr="00BF373A">
        <w:t>)</w:t>
      </w:r>
      <w:r w:rsidR="00C77C41">
        <w:t xml:space="preserve">, toluene, </w:t>
      </w:r>
      <w:r w:rsidR="00AA6769" w:rsidRPr="00C912F2">
        <w:rPr>
          <w:bCs/>
          <w:shd w:val="clear" w:color="auto" w:fill="FFFFFF"/>
        </w:rPr>
        <w:t>ethylenediaminetetraacetic acid</w:t>
      </w:r>
      <w:r w:rsidR="00944EA0">
        <w:rPr>
          <w:bCs/>
          <w:shd w:val="clear" w:color="auto" w:fill="FFFFFF"/>
        </w:rPr>
        <w:t xml:space="preserve"> </w:t>
      </w:r>
      <w:r w:rsidR="00AA6769" w:rsidRPr="00C912F2">
        <w:t>(</w:t>
      </w:r>
      <w:r w:rsidR="00C77C41" w:rsidRPr="00C912F2">
        <w:t>EDTA</w:t>
      </w:r>
      <w:r w:rsidR="00AA6769">
        <w:t>)</w:t>
      </w:r>
      <w:r w:rsidR="00C77C41">
        <w:t>, potassium hexacyanoferrate(III) and iron(III)chloride hexahydrate</w:t>
      </w:r>
      <w:r w:rsidR="00C77C41" w:rsidRPr="00BF373A">
        <w:t>from Lach-Ner (Czech Republic)</w:t>
      </w:r>
      <w:r w:rsidR="00BE5A93" w:rsidRPr="00BF373A">
        <w:t>.</w:t>
      </w:r>
      <w:r w:rsidR="00C77C41">
        <w:t xml:space="preserve"> Hydrogen peroxide</w:t>
      </w:r>
      <w:r w:rsidR="00490155">
        <w:t xml:space="preserve"> (30%)</w:t>
      </w:r>
      <w:r w:rsidR="00C77C41">
        <w:t xml:space="preserve"> was purchased f</w:t>
      </w:r>
      <w:r w:rsidR="006B6069">
        <w:t xml:space="preserve">rom </w:t>
      </w:r>
      <w:r w:rsidR="00884478">
        <w:t>Carlo Erba (France).</w:t>
      </w:r>
      <w:r w:rsidR="00BE2BC1">
        <w:t xml:space="preserve"> Glutathione</w:t>
      </w:r>
      <w:r w:rsidR="00490155">
        <w:t xml:space="preserve"> (</w:t>
      </w:r>
      <w:r w:rsidR="00490155">
        <w:rPr>
          <w:iCs/>
        </w:rPr>
        <w:t xml:space="preserve">98% </w:t>
      </w:r>
      <w:r w:rsidR="00490155" w:rsidRPr="003E4221">
        <w:rPr>
          <w:iCs/>
        </w:rPr>
        <w:t>purity</w:t>
      </w:r>
      <w:r w:rsidR="00490155">
        <w:t>)</w:t>
      </w:r>
      <w:r w:rsidR="00BE2BC1">
        <w:t xml:space="preserve"> and </w:t>
      </w:r>
      <w:r w:rsidR="00EC34F9" w:rsidRPr="00EC34F9">
        <w:rPr>
          <w:iCs/>
        </w:rPr>
        <w:t>1-chloro-2,4-dinitrobenzene</w:t>
      </w:r>
      <w:r w:rsidR="00466005">
        <w:rPr>
          <w:iCs/>
        </w:rPr>
        <w:t xml:space="preserve"> (</w:t>
      </w:r>
      <w:r w:rsidR="00F811AD">
        <w:rPr>
          <w:iCs/>
        </w:rPr>
        <w:t xml:space="preserve">CDNB, </w:t>
      </w:r>
      <w:r w:rsidR="00466005">
        <w:rPr>
          <w:iCs/>
        </w:rPr>
        <w:t>99%</w:t>
      </w:r>
      <w:r w:rsidR="00944EA0">
        <w:rPr>
          <w:iCs/>
        </w:rPr>
        <w:t xml:space="preserve"> </w:t>
      </w:r>
      <w:r w:rsidR="003E4221" w:rsidRPr="003E4221">
        <w:rPr>
          <w:iCs/>
        </w:rPr>
        <w:t>purity</w:t>
      </w:r>
      <w:r w:rsidR="003E4221">
        <w:rPr>
          <w:iCs/>
        </w:rPr>
        <w:t>)</w:t>
      </w:r>
      <w:r w:rsidR="00BE2BC1">
        <w:t xml:space="preserve"> </w:t>
      </w:r>
      <w:r w:rsidR="00CA34A8">
        <w:t>were</w:t>
      </w:r>
      <w:r w:rsidR="00CA34A8">
        <w:t xml:space="preserve"> </w:t>
      </w:r>
      <w:r w:rsidR="00BE2BC1" w:rsidRPr="00037A4C">
        <w:lastRenderedPageBreak/>
        <w:t>purchased</w:t>
      </w:r>
      <w:r w:rsidR="00BE2BC1">
        <w:t xml:space="preserve"> from Acros Organics</w:t>
      </w:r>
      <w:r w:rsidR="001C676F">
        <w:t xml:space="preserve"> (</w:t>
      </w:r>
      <w:r w:rsidR="00E60859">
        <w:t>USA</w:t>
      </w:r>
      <w:r w:rsidR="001C676F">
        <w:t>).</w:t>
      </w:r>
      <w:r w:rsidR="00944EA0">
        <w:t xml:space="preserve"> </w:t>
      </w:r>
      <w:r w:rsidR="005A5A93" w:rsidRPr="00C912F2">
        <w:rPr>
          <w:rFonts w:eastAsia="Calibri"/>
        </w:rPr>
        <w:t>All the other reagents and chemicals used were</w:t>
      </w:r>
      <w:r w:rsidR="00944EA0">
        <w:rPr>
          <w:rFonts w:eastAsia="Calibri"/>
        </w:rPr>
        <w:t xml:space="preserve"> </w:t>
      </w:r>
      <w:r w:rsidR="005A5A93" w:rsidRPr="00C912F2">
        <w:rPr>
          <w:rFonts w:eastAsia="Calibri"/>
        </w:rPr>
        <w:t>of analytical grade.</w:t>
      </w:r>
    </w:p>
    <w:p w:rsidR="00EB25C7" w:rsidRDefault="00EB25C7">
      <w:pPr>
        <w:pStyle w:val="NoSpacing"/>
        <w:spacing w:line="360" w:lineRule="auto"/>
        <w:jc w:val="both"/>
        <w:rPr>
          <w:rFonts w:ascii="Times New Roman" w:hAnsi="Times New Roman"/>
          <w:sz w:val="24"/>
          <w:szCs w:val="24"/>
          <w:lang w:val="sr-Latn-BA"/>
        </w:rPr>
      </w:pPr>
    </w:p>
    <w:p w:rsidR="00EB25C7" w:rsidRDefault="009A38C0">
      <w:pPr>
        <w:spacing w:line="360" w:lineRule="auto"/>
        <w:rPr>
          <w:i/>
        </w:rPr>
      </w:pPr>
      <w:r w:rsidRPr="00BE20DF">
        <w:rPr>
          <w:i/>
        </w:rPr>
        <w:t>Sampl</w:t>
      </w:r>
      <w:r w:rsidR="008A7DEF" w:rsidRPr="00BE20DF">
        <w:rPr>
          <w:i/>
        </w:rPr>
        <w:t xml:space="preserve">e preparation </w:t>
      </w:r>
    </w:p>
    <w:p w:rsidR="00EB25C7" w:rsidRDefault="003E1445">
      <w:pPr>
        <w:spacing w:line="360" w:lineRule="auto"/>
        <w:ind w:firstLine="709"/>
        <w:rPr>
          <w:i/>
        </w:rPr>
      </w:pPr>
      <w:r w:rsidRPr="00BE20DF">
        <w:t>Human blood was obtained from healthy volunteers.</w:t>
      </w:r>
      <w:r w:rsidR="00944EA0">
        <w:t xml:space="preserve"> </w:t>
      </w:r>
      <w:r w:rsidR="007358FD" w:rsidRPr="00BE20DF">
        <w:t xml:space="preserve">All procedures were approved by the Ethical Committee of the Medical Faculty of the University of Banja Luka, B&amp;H number </w:t>
      </w:r>
      <w:r w:rsidR="007358FD" w:rsidRPr="00BE20DF">
        <w:rPr>
          <w:rFonts w:eastAsia="Calibri"/>
        </w:rPr>
        <w:t xml:space="preserve">18/4.14/18. </w:t>
      </w:r>
      <w:r w:rsidR="00D15821" w:rsidRPr="00BE20DF">
        <w:t xml:space="preserve">The average age of volunteers </w:t>
      </w:r>
      <w:r w:rsidR="008C482E" w:rsidRPr="008C482E">
        <w:rPr>
          <w:color w:val="FF0000"/>
        </w:rPr>
        <w:t>(6 men and 12 women)</w:t>
      </w:r>
      <w:r w:rsidR="00D15821" w:rsidRPr="00BE20DF">
        <w:t xml:space="preserve"> was 23 years (from 21 to 25). All volunteers were healthy, did not take any therapies, were not smokers and had not come in contact with pesticides.</w:t>
      </w:r>
      <w:r w:rsidR="009E6513" w:rsidRPr="00BE20DF">
        <w:t xml:space="preserve"> On average, 6 m</w:t>
      </w:r>
      <w:r w:rsidR="00B9164D" w:rsidRPr="00BE20DF">
        <w:t xml:space="preserve">L of blood was taken </w:t>
      </w:r>
      <w:r w:rsidR="002C146D" w:rsidRPr="00BE20DF">
        <w:t xml:space="preserve">from each person </w:t>
      </w:r>
      <w:r w:rsidR="00B9164D" w:rsidRPr="00BE20DF">
        <w:t xml:space="preserve">into </w:t>
      </w:r>
      <w:r w:rsidR="002C146D" w:rsidRPr="00BE20DF">
        <w:t xml:space="preserve">a </w:t>
      </w:r>
      <w:r w:rsidR="00B9164D" w:rsidRPr="00BE20DF">
        <w:t>vacutainer containing citrate</w:t>
      </w:r>
      <w:r w:rsidR="00944EA0">
        <w:t xml:space="preserve"> </w:t>
      </w:r>
      <w:r w:rsidR="00B9164D" w:rsidRPr="00BE20DF">
        <w:t xml:space="preserve">as </w:t>
      </w:r>
      <w:r w:rsidR="002C146D" w:rsidRPr="00BE20DF">
        <w:t xml:space="preserve">an </w:t>
      </w:r>
      <w:r w:rsidR="00B9164D" w:rsidRPr="00BE20DF">
        <w:t>anticoagulant</w:t>
      </w:r>
      <w:r w:rsidR="00D01063" w:rsidRPr="00BE20DF">
        <w:t xml:space="preserve">. </w:t>
      </w:r>
      <w:r w:rsidR="001C60BE" w:rsidRPr="00BE20DF">
        <w:t xml:space="preserve">The experiments were </w:t>
      </w:r>
      <w:r w:rsidR="00303A19" w:rsidRPr="00BE20DF">
        <w:t>performed</w:t>
      </w:r>
      <w:r w:rsidR="00944EA0">
        <w:t xml:space="preserve"> </w:t>
      </w:r>
      <w:r w:rsidR="00303A19" w:rsidRPr="00BE20DF">
        <w:t>on</w:t>
      </w:r>
      <w:r w:rsidR="001C60BE" w:rsidRPr="00BE20DF">
        <w:t xml:space="preserve"> the day of </w:t>
      </w:r>
      <w:r w:rsidR="002C146D" w:rsidRPr="00BE20DF">
        <w:t>the</w:t>
      </w:r>
      <w:r w:rsidR="00944EA0">
        <w:t xml:space="preserve"> </w:t>
      </w:r>
      <w:r w:rsidR="001C60BE" w:rsidRPr="00BE20DF">
        <w:t xml:space="preserve">collection. The blood was centrifuged at </w:t>
      </w:r>
      <w:r w:rsidR="008C482E" w:rsidRPr="008C482E">
        <w:rPr>
          <w:color w:val="FF0000"/>
        </w:rPr>
        <w:t>900 g</w:t>
      </w:r>
      <w:r w:rsidR="00944EA0">
        <w:rPr>
          <w:color w:val="FF0000"/>
        </w:rPr>
        <w:t xml:space="preserve"> </w:t>
      </w:r>
      <w:r w:rsidR="001C60BE" w:rsidRPr="00BE20DF">
        <w:t>for 10 min</w:t>
      </w:r>
      <w:r w:rsidR="00944EA0">
        <w:t xml:space="preserve"> </w:t>
      </w:r>
      <w:r w:rsidR="008C482E" w:rsidRPr="008C482E">
        <w:rPr>
          <w:color w:val="FF0000"/>
        </w:rPr>
        <w:t>(Centric 200R, TEHTNICA)</w:t>
      </w:r>
      <w:r w:rsidR="001C60BE" w:rsidRPr="00BE20DF">
        <w:t xml:space="preserve"> and the plasma was separated. The precipitate of erythrocytes </w:t>
      </w:r>
      <w:r w:rsidR="00303A19" w:rsidRPr="00BE20DF">
        <w:t>was</w:t>
      </w:r>
      <w:r w:rsidR="001C60BE" w:rsidRPr="00BE20DF">
        <w:t xml:space="preserve"> washed three times with </w:t>
      </w:r>
      <w:r w:rsidR="00303A19" w:rsidRPr="00BE20DF">
        <w:t xml:space="preserve">a </w:t>
      </w:r>
      <w:r w:rsidR="001C60BE" w:rsidRPr="00BE20DF">
        <w:t>cold physiological solution and use</w:t>
      </w:r>
      <w:r w:rsidR="00E86AD2" w:rsidRPr="00BE20DF">
        <w:t>d</w:t>
      </w:r>
      <w:r w:rsidR="001C60BE" w:rsidRPr="00BE20DF">
        <w:t xml:space="preserve"> for treatment with </w:t>
      </w:r>
      <w:r w:rsidR="008C482E" w:rsidRPr="008C482E">
        <w:rPr>
          <w:color w:val="FF0000"/>
        </w:rPr>
        <w:t>Hemazin SC 500</w:t>
      </w:r>
      <w:r w:rsidR="001C60BE" w:rsidRPr="00BE20DF">
        <w:t xml:space="preserve">. </w:t>
      </w:r>
    </w:p>
    <w:p w:rsidR="00EB25C7" w:rsidRDefault="00EB25C7">
      <w:pPr>
        <w:spacing w:line="360" w:lineRule="auto"/>
        <w:rPr>
          <w:i/>
        </w:rPr>
      </w:pPr>
    </w:p>
    <w:p w:rsidR="00EB25C7" w:rsidRDefault="000E0511">
      <w:pPr>
        <w:spacing w:line="360" w:lineRule="auto"/>
        <w:rPr>
          <w:i/>
        </w:rPr>
      </w:pPr>
      <w:r w:rsidRPr="00BE20DF">
        <w:rPr>
          <w:i/>
        </w:rPr>
        <w:t>Preparatio</w:t>
      </w:r>
      <w:r w:rsidR="008A7DEF" w:rsidRPr="00BE20DF">
        <w:rPr>
          <w:i/>
        </w:rPr>
        <w:t>n of pesticides solution</w:t>
      </w:r>
    </w:p>
    <w:p w:rsidR="00EB25C7" w:rsidRDefault="00C652DB">
      <w:pPr>
        <w:spacing w:line="360" w:lineRule="auto"/>
        <w:ind w:firstLine="709"/>
      </w:pPr>
      <w:r w:rsidRPr="00CB5B52">
        <w:rPr>
          <w:color w:val="FF0000"/>
        </w:rPr>
        <w:t xml:space="preserve">In the experiments, we used a commercial herbicide Hemazin SC 500 with a known concentration of terbuthylazine, therefore we amount of herbicides for treatment of erythrocytes calculated based on terbuthylazine concentration (37 nmol/L - 37 </w:t>
      </w:r>
      <w:r w:rsidRPr="00CB5B52">
        <w:rPr>
          <w:color w:val="FF0000"/>
        </w:rPr>
        <w:sym w:font="Symbol" w:char="F06D"/>
      </w:r>
      <w:r w:rsidRPr="00CB5B52">
        <w:rPr>
          <w:color w:val="FF0000"/>
        </w:rPr>
        <w:t>mol/L).</w:t>
      </w:r>
      <w:r w:rsidR="00944EA0">
        <w:rPr>
          <w:color w:val="FF0000"/>
        </w:rPr>
        <w:t xml:space="preserve"> </w:t>
      </w:r>
      <w:r w:rsidR="003E1445" w:rsidRPr="00BE20DF">
        <w:t xml:space="preserve">The lowest selected concentration of </w:t>
      </w:r>
      <w:r w:rsidR="00D15821" w:rsidRPr="00BE20DF">
        <w:t>terbuthylazine</w:t>
      </w:r>
      <w:r w:rsidR="00944EA0">
        <w:t xml:space="preserve"> </w:t>
      </w:r>
      <w:r w:rsidR="00F811AD" w:rsidRPr="00BE20DF">
        <w:t>(</w:t>
      </w:r>
      <w:r w:rsidR="00AF2ED0" w:rsidRPr="00BE20DF">
        <w:t>37 nmol/L</w:t>
      </w:r>
      <w:r w:rsidR="00F811AD" w:rsidRPr="00BE20DF">
        <w:t>)</w:t>
      </w:r>
      <w:r w:rsidR="00944EA0">
        <w:t xml:space="preserve"> </w:t>
      </w:r>
      <w:r w:rsidR="003E1445" w:rsidRPr="00BE20DF">
        <w:t xml:space="preserve">in our experiment was based on the data </w:t>
      </w:r>
      <w:r w:rsidR="00636D41" w:rsidRPr="00BE20DF">
        <w:t xml:space="preserve">showing </w:t>
      </w:r>
      <w:r w:rsidR="00207BF1" w:rsidRPr="00BE20DF">
        <w:t xml:space="preserve">that the concentration of </w:t>
      </w:r>
      <w:r w:rsidR="00D15821" w:rsidRPr="00BE20DF">
        <w:t>terbuthylazine</w:t>
      </w:r>
      <w:r w:rsidR="00207BF1" w:rsidRPr="00BE20DF">
        <w:t xml:space="preserve"> in waterways on day </w:t>
      </w:r>
      <w:r w:rsidR="00636D41" w:rsidRPr="00BE20DF">
        <w:t>on which</w:t>
      </w:r>
      <w:r w:rsidR="00944EA0">
        <w:t xml:space="preserve"> </w:t>
      </w:r>
      <w:r w:rsidR="00D15821" w:rsidRPr="00BE20DF">
        <w:t>terbuthylazine</w:t>
      </w:r>
      <w:r w:rsidR="00207BF1" w:rsidRPr="00BE20DF">
        <w:t xml:space="preserve"> was applied</w:t>
      </w:r>
      <w:r w:rsidR="00F32AA7" w:rsidRPr="00BE20DF">
        <w:t xml:space="preserve"> on crops was </w:t>
      </w:r>
      <w:r w:rsidR="00566236" w:rsidRPr="00BE20DF">
        <w:t>42</w:t>
      </w:r>
      <w:r w:rsidR="00944EA0">
        <w:t xml:space="preserve"> </w:t>
      </w:r>
      <w:r w:rsidR="00AF2ED0" w:rsidRPr="00BE20DF">
        <w:t>nmol/L</w:t>
      </w:r>
      <w:r w:rsidR="00F32AA7" w:rsidRPr="00BE20DF">
        <w:t>.</w:t>
      </w:r>
      <w:r w:rsidR="001439F8">
        <w:rPr>
          <w:vertAlign w:val="superscript"/>
          <w:lang w:val="sr-Cyrl-BA"/>
        </w:rPr>
        <w:t>13</w:t>
      </w:r>
      <w:r w:rsidR="00944EA0">
        <w:rPr>
          <w:vertAlign w:val="superscript"/>
        </w:rPr>
        <w:t xml:space="preserve"> </w:t>
      </w:r>
      <w:r w:rsidR="00F32AA7" w:rsidRPr="00BE20DF">
        <w:t>On the other hand,</w:t>
      </w:r>
      <w:r w:rsidR="00944EA0">
        <w:t xml:space="preserve"> </w:t>
      </w:r>
      <w:r w:rsidR="00F32AA7" w:rsidRPr="00BE20DF">
        <w:t>t</w:t>
      </w:r>
      <w:r w:rsidR="00D01063" w:rsidRPr="00BE20DF">
        <w:t xml:space="preserve">he solubility of </w:t>
      </w:r>
      <w:r w:rsidR="00D15821" w:rsidRPr="00BE20DF">
        <w:t>terbuthylazine</w:t>
      </w:r>
      <w:r w:rsidR="00D01063" w:rsidRPr="00BE20DF">
        <w:t xml:space="preserve"> in water is</w:t>
      </w:r>
      <w:r w:rsidR="00944EA0">
        <w:t xml:space="preserve"> </w:t>
      </w:r>
      <w:r w:rsidR="00AF2ED0" w:rsidRPr="00BE20DF">
        <w:t xml:space="preserve">39 </w:t>
      </w:r>
      <w:r w:rsidR="000F52F2" w:rsidRPr="00BE20DF">
        <w:sym w:font="Symbol" w:char="F06D"/>
      </w:r>
      <w:r w:rsidR="00AF2ED0" w:rsidRPr="00BE20DF">
        <w:t>mol/L</w:t>
      </w:r>
      <w:r w:rsidR="001439F8">
        <w:rPr>
          <w:vertAlign w:val="superscript"/>
          <w:lang w:val="sr-Cyrl-BA"/>
        </w:rPr>
        <w:t>14</w:t>
      </w:r>
      <w:r w:rsidR="00944EA0">
        <w:rPr>
          <w:vertAlign w:val="superscript"/>
        </w:rPr>
        <w:t xml:space="preserve"> </w:t>
      </w:r>
      <w:r w:rsidR="00D01063" w:rsidRPr="00BE20DF">
        <w:t xml:space="preserve">and therefore we chose the </w:t>
      </w:r>
      <w:r w:rsidR="00AF2ED0" w:rsidRPr="00BE20DF">
        <w:t xml:space="preserve">37 </w:t>
      </w:r>
      <w:r w:rsidR="000F52F2" w:rsidRPr="00BE20DF">
        <w:sym w:font="Symbol" w:char="F06D"/>
      </w:r>
      <w:r w:rsidR="00AF2ED0" w:rsidRPr="00BE20DF">
        <w:t xml:space="preserve">mol/L </w:t>
      </w:r>
      <w:r w:rsidR="00D01063" w:rsidRPr="00BE20DF">
        <w:t>as highest concentration for</w:t>
      </w:r>
      <w:r w:rsidR="00636D41" w:rsidRPr="00BE20DF">
        <w:t xml:space="preserve"> the</w:t>
      </w:r>
      <w:r w:rsidR="00D01063" w:rsidRPr="00BE20DF">
        <w:t xml:space="preserve"> treated erythrocytes. </w:t>
      </w:r>
      <w:r w:rsidR="00D15821" w:rsidRPr="00BE20DF">
        <w:t>Terbuthylazine</w:t>
      </w:r>
      <w:r w:rsidR="00D01063" w:rsidRPr="00BE20DF">
        <w:t xml:space="preserve"> was dissolved in</w:t>
      </w:r>
      <w:r w:rsidR="00636D41" w:rsidRPr="00BE20DF">
        <w:t xml:space="preserve"> a</w:t>
      </w:r>
      <w:r w:rsidR="00D01063" w:rsidRPr="00BE20DF">
        <w:t xml:space="preserve"> saline solution.</w:t>
      </w:r>
    </w:p>
    <w:p w:rsidR="00EB25C7" w:rsidRDefault="00EB25C7">
      <w:pPr>
        <w:spacing w:line="360" w:lineRule="auto"/>
        <w:ind w:firstLine="709"/>
      </w:pPr>
    </w:p>
    <w:p w:rsidR="00EB25C7" w:rsidRDefault="00A1516A">
      <w:pPr>
        <w:spacing w:line="360" w:lineRule="auto"/>
        <w:rPr>
          <w:i/>
        </w:rPr>
      </w:pPr>
      <w:r w:rsidRPr="00A1516A">
        <w:rPr>
          <w:i/>
        </w:rPr>
        <w:t>Treatment of Erythrocytes with</w:t>
      </w:r>
      <w:r w:rsidR="00944EA0">
        <w:rPr>
          <w:i/>
        </w:rPr>
        <w:t xml:space="preserve"> </w:t>
      </w:r>
      <w:r w:rsidR="008C482E" w:rsidRPr="008C482E">
        <w:rPr>
          <w:i/>
          <w:color w:val="FF0000"/>
        </w:rPr>
        <w:t>Commercial Herbicide</w:t>
      </w:r>
      <w:r w:rsidR="00944EA0">
        <w:rPr>
          <w:i/>
          <w:color w:val="FF0000"/>
        </w:rPr>
        <w:t xml:space="preserve"> </w:t>
      </w:r>
      <w:r w:rsidR="008C482E" w:rsidRPr="008C482E">
        <w:rPr>
          <w:i/>
          <w:color w:val="FF0000"/>
        </w:rPr>
        <w:t>Hemazin</w:t>
      </w:r>
      <w:r w:rsidR="00944EA0">
        <w:rPr>
          <w:i/>
          <w:color w:val="FF0000"/>
        </w:rPr>
        <w:t xml:space="preserve"> </w:t>
      </w:r>
      <w:r w:rsidR="008C482E" w:rsidRPr="008C482E">
        <w:rPr>
          <w:i/>
          <w:color w:val="FF0000"/>
        </w:rPr>
        <w:t>SC 500</w:t>
      </w:r>
      <w:r w:rsidR="00944EA0">
        <w:rPr>
          <w:i/>
          <w:color w:val="FF0000"/>
        </w:rPr>
        <w:t xml:space="preserve"> </w:t>
      </w:r>
      <w:r w:rsidRPr="00A1516A">
        <w:rPr>
          <w:i/>
        </w:rPr>
        <w:t>and Lysis</w:t>
      </w:r>
    </w:p>
    <w:p w:rsidR="00EB25C7" w:rsidRPr="001439F8" w:rsidRDefault="008C482E">
      <w:pPr>
        <w:spacing w:line="360" w:lineRule="auto"/>
        <w:ind w:firstLine="709"/>
        <w:rPr>
          <w:lang w:val="sr-Cyrl-BA"/>
        </w:rPr>
      </w:pPr>
      <w:r w:rsidRPr="008C482E">
        <w:rPr>
          <w:color w:val="1F497D" w:themeColor="text2"/>
        </w:rPr>
        <w:t>The erythrocytes of 18 healthy volunteers</w:t>
      </w:r>
      <w:r w:rsidR="00CA34A8">
        <w:rPr>
          <w:color w:val="1F497D" w:themeColor="text2"/>
        </w:rPr>
        <w:t xml:space="preserve"> </w:t>
      </w:r>
      <w:r w:rsidR="00CA34A8" w:rsidRPr="008C482E">
        <w:rPr>
          <w:color w:val="1F497D" w:themeColor="text2"/>
        </w:rPr>
        <w:t>w</w:t>
      </w:r>
      <w:r w:rsidR="00CA34A8">
        <w:rPr>
          <w:color w:val="1F497D" w:themeColor="text2"/>
        </w:rPr>
        <w:t>ere</w:t>
      </w:r>
      <w:r w:rsidR="00CA34A8" w:rsidRPr="008C482E">
        <w:rPr>
          <w:color w:val="1F497D" w:themeColor="text2"/>
        </w:rPr>
        <w:t xml:space="preserve"> </w:t>
      </w:r>
      <w:r w:rsidRPr="008C482E">
        <w:rPr>
          <w:color w:val="1F497D" w:themeColor="text2"/>
        </w:rPr>
        <w:t xml:space="preserve">used in experiments. The experiments were repeated 3 times </w:t>
      </w:r>
      <w:r w:rsidRPr="00373548">
        <w:rPr>
          <w:color w:val="1F497D" w:themeColor="text2"/>
        </w:rPr>
        <w:t xml:space="preserve">with 6 </w:t>
      </w:r>
      <w:r w:rsidR="00373548" w:rsidRPr="00373548">
        <w:rPr>
          <w:color w:val="1F497D" w:themeColor="text2"/>
        </w:rPr>
        <w:t xml:space="preserve">volunteers </w:t>
      </w:r>
      <w:r w:rsidR="00373548">
        <w:rPr>
          <w:color w:val="1F497D" w:themeColor="text2"/>
        </w:rPr>
        <w:t>(</w:t>
      </w:r>
      <w:r w:rsidRPr="00373548">
        <w:rPr>
          <w:color w:val="1F497D" w:themeColor="text2"/>
        </w:rPr>
        <w:t>samples</w:t>
      </w:r>
      <w:r w:rsidR="00373548">
        <w:rPr>
          <w:color w:val="1F497D" w:themeColor="text2"/>
        </w:rPr>
        <w:t>)</w:t>
      </w:r>
      <w:r w:rsidRPr="008C482E">
        <w:rPr>
          <w:color w:val="1F497D" w:themeColor="text2"/>
        </w:rPr>
        <w:t xml:space="preserve"> per experiment.</w:t>
      </w:r>
      <w:r w:rsidR="00944EA0">
        <w:rPr>
          <w:color w:val="1F497D" w:themeColor="text2"/>
        </w:rPr>
        <w:t xml:space="preserve"> </w:t>
      </w:r>
      <w:r w:rsidRPr="008C482E">
        <w:rPr>
          <w:color w:val="1F497D" w:themeColor="text2"/>
        </w:rPr>
        <w:t>Each of the 6 samples was divided into 4 aliquots (1 control and 3 treated).</w:t>
      </w:r>
      <w:r w:rsidR="00944EA0">
        <w:rPr>
          <w:color w:val="1F497D" w:themeColor="text2"/>
        </w:rPr>
        <w:t xml:space="preserve"> </w:t>
      </w:r>
      <w:r w:rsidR="00063B21" w:rsidRPr="00063B21">
        <w:rPr>
          <w:color w:val="1F497D" w:themeColor="text2"/>
        </w:rPr>
        <w:t>We've presented results for one experiment with 6 volunteers.</w:t>
      </w:r>
      <w:r w:rsidR="00944EA0">
        <w:rPr>
          <w:color w:val="1F497D" w:themeColor="text2"/>
        </w:rPr>
        <w:t xml:space="preserve"> </w:t>
      </w:r>
      <w:r w:rsidR="001C60BE" w:rsidRPr="00FE1513">
        <w:t xml:space="preserve">The erythrocytes were treated with </w:t>
      </w:r>
      <w:r w:rsidRPr="008C482E">
        <w:rPr>
          <w:color w:val="FF0000"/>
        </w:rPr>
        <w:t xml:space="preserve">Hemazine SC 500 calculated on terbuthylazine (control (0), 37 </w:t>
      </w:r>
      <w:r w:rsidRPr="008C482E">
        <w:rPr>
          <w:color w:val="FF0000"/>
        </w:rPr>
        <w:sym w:font="Symbol" w:char="F06D"/>
      </w:r>
      <w:r w:rsidRPr="008C482E">
        <w:rPr>
          <w:color w:val="FF0000"/>
        </w:rPr>
        <w:t>mol/L, 3</w:t>
      </w:r>
      <w:r w:rsidR="00406CE8">
        <w:rPr>
          <w:color w:val="FF0000"/>
        </w:rPr>
        <w:t>.</w:t>
      </w:r>
      <w:r w:rsidRPr="008C482E">
        <w:rPr>
          <w:color w:val="FF0000"/>
        </w:rPr>
        <w:t>7</w:t>
      </w:r>
      <w:r w:rsidR="00944EA0">
        <w:rPr>
          <w:color w:val="FF0000"/>
        </w:rPr>
        <w:t xml:space="preserve"> </w:t>
      </w:r>
      <w:r w:rsidRPr="008C482E">
        <w:rPr>
          <w:color w:val="FF0000"/>
        </w:rPr>
        <w:sym w:font="Symbol" w:char="F06D"/>
      </w:r>
      <w:r w:rsidRPr="008C482E">
        <w:rPr>
          <w:color w:val="FF0000"/>
        </w:rPr>
        <w:t xml:space="preserve">mol/L and 37 nmol/L) </w:t>
      </w:r>
      <w:r w:rsidR="001C60BE" w:rsidRPr="00FE1513">
        <w:t>for 1 an</w:t>
      </w:r>
      <w:r w:rsidR="00A66636" w:rsidRPr="009C789A">
        <w:t>d</w:t>
      </w:r>
      <w:r w:rsidR="001C60BE" w:rsidRPr="009C789A">
        <w:t xml:space="preserve"> 3 h at the temperature of 37ºC </w:t>
      </w:r>
      <w:r w:rsidR="003E1445" w:rsidRPr="003E1445">
        <w:t xml:space="preserve">with consistent steering. </w:t>
      </w:r>
      <w:r w:rsidRPr="008C482E">
        <w:rPr>
          <w:color w:val="FF0000"/>
        </w:rPr>
        <w:t>In preliminary experiments we have shown that there is no lysis of erythrocyte</w:t>
      </w:r>
      <w:r w:rsidR="00633EA9">
        <w:rPr>
          <w:color w:val="FF0000"/>
        </w:rPr>
        <w:t>s</w:t>
      </w:r>
      <w:r w:rsidRPr="008C482E">
        <w:rPr>
          <w:color w:val="FF0000"/>
        </w:rPr>
        <w:t xml:space="preserve"> for the selected concentrations of terbuthylazine</w:t>
      </w:r>
      <w:r w:rsidR="00386CAB">
        <w:rPr>
          <w:color w:val="FF0000"/>
        </w:rPr>
        <w:t xml:space="preserve"> </w:t>
      </w:r>
      <w:r w:rsidRPr="008C482E">
        <w:rPr>
          <w:color w:val="FF0000"/>
        </w:rPr>
        <w:t>under these conditions.</w:t>
      </w:r>
      <w:r w:rsidR="00386CAB">
        <w:rPr>
          <w:color w:val="FF0000"/>
        </w:rPr>
        <w:t xml:space="preserve"> </w:t>
      </w:r>
      <w:r w:rsidR="003E1445" w:rsidRPr="003E1445">
        <w:t xml:space="preserve">After incubation erythrocytes were centrifuged at </w:t>
      </w:r>
      <w:r w:rsidRPr="008C482E">
        <w:rPr>
          <w:color w:val="FF0000"/>
        </w:rPr>
        <w:t>900 g</w:t>
      </w:r>
      <w:r w:rsidR="00386CAB">
        <w:rPr>
          <w:color w:val="FF0000"/>
        </w:rPr>
        <w:t xml:space="preserve"> </w:t>
      </w:r>
      <w:r w:rsidR="003E1445" w:rsidRPr="003E1445">
        <w:t>for 10 min</w:t>
      </w:r>
      <w:r w:rsidR="00386CAB">
        <w:t xml:space="preserve"> </w:t>
      </w:r>
      <w:r w:rsidR="003E1445" w:rsidRPr="003E1445">
        <w:t xml:space="preserve">and the </w:t>
      </w:r>
      <w:r w:rsidR="003E1445" w:rsidRPr="003E1445">
        <w:lastRenderedPageBreak/>
        <w:t>supernatant was discarded. Treated erythrocytes (washed 2 times with saline after treatment) were lysed with cold distilled water</w:t>
      </w:r>
      <w:r w:rsidR="00386CAB">
        <w:t xml:space="preserve"> </w:t>
      </w:r>
      <w:r w:rsidRPr="008C482E">
        <w:rPr>
          <w:color w:val="4F81BD" w:themeColor="accent1"/>
        </w:rPr>
        <w:t>1:3 (v/v)</w:t>
      </w:r>
      <w:r w:rsidR="00386CAB">
        <w:rPr>
          <w:color w:val="4F81BD" w:themeColor="accent1"/>
        </w:rPr>
        <w:t xml:space="preserve"> </w:t>
      </w:r>
      <w:r w:rsidR="003E1445" w:rsidRPr="003E1445">
        <w:t xml:space="preserve">(in order to prevent protein denaturation) and toluene </w:t>
      </w:r>
      <w:r w:rsidRPr="008C482E">
        <w:rPr>
          <w:color w:val="4F81BD" w:themeColor="accent1"/>
        </w:rPr>
        <w:t>1:1 (v/v)</w:t>
      </w:r>
      <w:r w:rsidR="00386CAB">
        <w:rPr>
          <w:color w:val="4F81BD" w:themeColor="accent1"/>
        </w:rPr>
        <w:t xml:space="preserve"> </w:t>
      </w:r>
      <w:r w:rsidR="003E1445" w:rsidRPr="003E1445">
        <w:t xml:space="preserve">(to remove lipids). </w:t>
      </w:r>
      <w:r w:rsidR="0070620E" w:rsidRPr="0070620E">
        <w:t xml:space="preserve">Then they </w:t>
      </w:r>
      <w:r w:rsidR="003E1445" w:rsidRPr="003E1445">
        <w:t xml:space="preserve">being </w:t>
      </w:r>
      <w:r w:rsidR="0008756A" w:rsidRPr="003E1445">
        <w:t>swirled in</w:t>
      </w:r>
      <w:r w:rsidR="003E1445" w:rsidRPr="003E1445">
        <w:t xml:space="preserve"> the vortex and standing in the refrigerator for 1 h, the lysed erythrocytes were centrifuged at </w:t>
      </w:r>
      <w:r w:rsidRPr="00591294">
        <w:rPr>
          <w:color w:val="FF0000"/>
        </w:rPr>
        <w:t>900 g</w:t>
      </w:r>
      <w:r w:rsidR="003E1445" w:rsidRPr="003E1445">
        <w:t xml:space="preserve"> for 25 min. The lysed </w:t>
      </w:r>
      <w:r w:rsidR="0008756A" w:rsidRPr="003E1445">
        <w:t>erythrocytes were</w:t>
      </w:r>
      <w:r w:rsidR="003E1445" w:rsidRPr="003E1445">
        <w:t xml:space="preserve"> used for further analysis, while membranes were removed. Hemoglobin </w:t>
      </w:r>
      <w:r w:rsidR="00ED380F">
        <w:t>(</w:t>
      </w:r>
      <w:r w:rsidR="00ED380F" w:rsidRPr="003E52FF">
        <w:rPr>
          <w:highlight w:val="yellow"/>
        </w:rPr>
        <w:t>Hb</w:t>
      </w:r>
      <w:r w:rsidR="00ED380F">
        <w:t xml:space="preserve">) </w:t>
      </w:r>
      <w:r w:rsidR="003E1445" w:rsidRPr="003E1445">
        <w:t xml:space="preserve">concentration </w:t>
      </w:r>
      <w:r w:rsidR="00757337" w:rsidRPr="003E1445">
        <w:t>w</w:t>
      </w:r>
      <w:r w:rsidR="00757337">
        <w:t>as</w:t>
      </w:r>
      <w:r w:rsidR="00ED380F">
        <w:t xml:space="preserve"> </w:t>
      </w:r>
      <w:r w:rsidR="003E1445" w:rsidRPr="003E1445">
        <w:t>determined by using the Drabkin and Austin methodat 545 nm.</w:t>
      </w:r>
      <w:r w:rsidR="001439F8">
        <w:rPr>
          <w:vertAlign w:val="superscript"/>
          <w:lang w:val="sr-Cyrl-BA"/>
        </w:rPr>
        <w:t>15</w:t>
      </w:r>
    </w:p>
    <w:p w:rsidR="00EB25C7" w:rsidRDefault="00EB25C7">
      <w:pPr>
        <w:spacing w:line="360" w:lineRule="auto"/>
        <w:ind w:firstLine="709"/>
      </w:pPr>
    </w:p>
    <w:p w:rsidR="00EB25C7" w:rsidRDefault="00A1516A">
      <w:pPr>
        <w:spacing w:line="360" w:lineRule="auto"/>
        <w:rPr>
          <w:i/>
        </w:rPr>
      </w:pPr>
      <w:r w:rsidRPr="00A1516A">
        <w:rPr>
          <w:i/>
        </w:rPr>
        <w:t xml:space="preserve">Preparation of SOD1 </w:t>
      </w:r>
      <w:r w:rsidR="008A7DEF" w:rsidRPr="00A1516A">
        <w:rPr>
          <w:i/>
        </w:rPr>
        <w:t>fractions</w:t>
      </w:r>
    </w:p>
    <w:p w:rsidR="00EB25C7" w:rsidRDefault="003E1445">
      <w:pPr>
        <w:spacing w:line="360" w:lineRule="auto"/>
        <w:ind w:firstLine="709"/>
        <w:rPr>
          <w:shd w:val="clear" w:color="auto" w:fill="FFFFFF"/>
        </w:rPr>
      </w:pPr>
      <w:r w:rsidRPr="003E1445">
        <w:t>In one part of the lysate, hemoglobin was removed by using the Tsuchihashi</w:t>
      </w:r>
      <w:r w:rsidR="00386CAB">
        <w:t xml:space="preserve"> </w:t>
      </w:r>
      <w:r w:rsidR="0095276D" w:rsidRPr="003E1445">
        <w:t>method</w:t>
      </w:r>
      <w:r w:rsidR="001439F8">
        <w:rPr>
          <w:vertAlign w:val="superscript"/>
          <w:lang w:val="sr-Cyrl-BA"/>
        </w:rPr>
        <w:t>16</w:t>
      </w:r>
      <w:r w:rsidR="00386CAB">
        <w:rPr>
          <w:vertAlign w:val="superscript"/>
        </w:rPr>
        <w:t xml:space="preserve"> </w:t>
      </w:r>
      <w:r w:rsidRPr="003E1445">
        <w:t>and the remaining solution was used to analyze the SOD</w:t>
      </w:r>
      <w:r w:rsidR="00BE38C1">
        <w:t>1</w:t>
      </w:r>
      <w:r w:rsidR="00386CAB">
        <w:t xml:space="preserve"> </w:t>
      </w:r>
      <w:r w:rsidRPr="003E1445">
        <w:t>isoenzyme pattern and activity.</w:t>
      </w:r>
      <w:r w:rsidR="00386CAB">
        <w:t xml:space="preserve"> </w:t>
      </w:r>
      <w:r w:rsidRPr="003E1445">
        <w:t xml:space="preserve">Prior to removal of hemoglobin in the samples, its content was determined. </w:t>
      </w:r>
      <w:r w:rsidRPr="003E1445">
        <w:rPr>
          <w:shd w:val="clear" w:color="auto" w:fill="FFFFFF"/>
        </w:rPr>
        <w:t xml:space="preserve">The volume of </w:t>
      </w:r>
      <w:r w:rsidR="00FE1513" w:rsidRPr="00817F5D">
        <w:rPr>
          <w:shd w:val="clear" w:color="auto" w:fill="FFFFFF"/>
        </w:rPr>
        <w:t xml:space="preserve">each of the samples </w:t>
      </w:r>
      <w:r w:rsidR="00FE1513">
        <w:rPr>
          <w:shd w:val="clear" w:color="auto" w:fill="FFFFFF"/>
        </w:rPr>
        <w:t xml:space="preserve">applied to the </w:t>
      </w:r>
      <w:r w:rsidRPr="003E1445">
        <w:rPr>
          <w:shd w:val="clear" w:color="auto" w:fill="FFFFFF"/>
        </w:rPr>
        <w:t>gel for electrophoresis corresponded to an equal amount of hemoglobin</w:t>
      </w:r>
      <w:r w:rsidR="005A7FA8">
        <w:rPr>
          <w:shd w:val="clear" w:color="auto" w:fill="FFFFFF"/>
        </w:rPr>
        <w:t>.</w:t>
      </w:r>
    </w:p>
    <w:p w:rsidR="00EB25C7" w:rsidRDefault="00EB25C7">
      <w:pPr>
        <w:spacing w:line="360" w:lineRule="auto"/>
        <w:ind w:firstLine="709"/>
      </w:pPr>
    </w:p>
    <w:p w:rsidR="00EB25C7" w:rsidRDefault="00A1516A">
      <w:pPr>
        <w:spacing w:line="360" w:lineRule="auto"/>
        <w:rPr>
          <w:i/>
        </w:rPr>
      </w:pPr>
      <w:r w:rsidRPr="00A1516A">
        <w:rPr>
          <w:i/>
        </w:rPr>
        <w:t xml:space="preserve">Native </w:t>
      </w:r>
      <w:r w:rsidR="008A7DEF" w:rsidRPr="00A1516A">
        <w:rPr>
          <w:i/>
        </w:rPr>
        <w:t>polyacrylamide gel electrophoresis</w:t>
      </w:r>
    </w:p>
    <w:p w:rsidR="00EB25C7" w:rsidRDefault="001C60BE">
      <w:pPr>
        <w:spacing w:line="360" w:lineRule="auto"/>
        <w:ind w:firstLine="709"/>
      </w:pPr>
      <w:r w:rsidRPr="009C789A">
        <w:t xml:space="preserve">For </w:t>
      </w:r>
      <w:r w:rsidR="00A66636" w:rsidRPr="009C789A">
        <w:t xml:space="preserve">the </w:t>
      </w:r>
      <w:r w:rsidRPr="009C789A">
        <w:t>separation of SOD</w:t>
      </w:r>
      <w:r w:rsidR="00BE38C1">
        <w:t>1</w:t>
      </w:r>
      <w:r w:rsidR="00386CAB">
        <w:t xml:space="preserve"> </w:t>
      </w:r>
      <w:r w:rsidR="0095276D" w:rsidRPr="00FE1513">
        <w:t>isoforms</w:t>
      </w:r>
      <w:r w:rsidR="00633EA9">
        <w:t xml:space="preserve"> </w:t>
      </w:r>
      <w:r w:rsidR="00FE1513" w:rsidRPr="00BA4BA4">
        <w:t xml:space="preserve">we used </w:t>
      </w:r>
      <w:r w:rsidRPr="00FE1513">
        <w:t>10% polyacrylamide gels and 8% polyacrylamide gels for</w:t>
      </w:r>
      <w:r w:rsidR="00A66636" w:rsidRPr="00FE1513">
        <w:t xml:space="preserve"> the</w:t>
      </w:r>
      <w:r w:rsidRPr="00FE1513">
        <w:t xml:space="preserve"> separation of CAT isoforms. </w:t>
      </w:r>
      <w:r w:rsidR="00A66636" w:rsidRPr="00FE1513">
        <w:t>The b</w:t>
      </w:r>
      <w:r w:rsidRPr="00FE1513">
        <w:t>uffer for electrophoresis (pH</w:t>
      </w:r>
      <w:r w:rsidR="00386CAB">
        <w:t xml:space="preserve"> </w:t>
      </w:r>
      <w:r w:rsidRPr="00FE1513">
        <w:t xml:space="preserve">8.3) contained 24.8 mmol/L Tris and 192 mmol/L glycine. </w:t>
      </w:r>
      <w:r w:rsidRPr="009C789A">
        <w:rPr>
          <w:shd w:val="clear" w:color="auto" w:fill="FFFFFF"/>
        </w:rPr>
        <w:t>Before being loaded on the gel,</w:t>
      </w:r>
      <w:r w:rsidRPr="009C789A">
        <w:t xml:space="preserve"> samples were mixed with </w:t>
      </w:r>
      <w:r w:rsidR="003E1445" w:rsidRPr="003E1445">
        <w:t xml:space="preserve">the loading buffer (50 mmol/L Tris pH 6.8, 10% glycerol and 0.1% bromophenol blue) in </w:t>
      </w:r>
      <w:r w:rsidR="00FE1513">
        <w:t xml:space="preserve">the 1:3 </w:t>
      </w:r>
      <w:r w:rsidRPr="00FE1513">
        <w:t>ratio</w:t>
      </w:r>
      <w:r w:rsidR="0021164D">
        <w:t>.</w:t>
      </w:r>
      <w:r w:rsidR="00386CAB">
        <w:t xml:space="preserve"> </w:t>
      </w:r>
      <w:r w:rsidRPr="009C789A">
        <w:t>After electrophore</w:t>
      </w:r>
      <w:r w:rsidR="0095276D">
        <w:t>sis</w:t>
      </w:r>
      <w:r w:rsidRPr="009C789A">
        <w:t>, SOD</w:t>
      </w:r>
      <w:r w:rsidR="00BE38C1">
        <w:t>1</w:t>
      </w:r>
      <w:r w:rsidRPr="009C789A">
        <w:t xml:space="preserve"> isoforms were determined by specific staining. The gels were incubat</w:t>
      </w:r>
      <w:r w:rsidR="003E1445" w:rsidRPr="003E1445">
        <w:t>ed in the staining solution consisting of 0.25 mmol/L NBT, 0.13 mmol/L riboflavin, 4 mmol/L Tris buffer pH 7.8, 1 mmol/L EDTA and 2.72 mmol/L TEMED.</w:t>
      </w:r>
      <w:r w:rsidR="001439F8">
        <w:rPr>
          <w:vertAlign w:val="superscript"/>
          <w:lang w:val="sr-Cyrl-BA"/>
        </w:rPr>
        <w:t>17</w:t>
      </w:r>
      <w:r w:rsidR="00386CAB">
        <w:rPr>
          <w:vertAlign w:val="superscript"/>
        </w:rPr>
        <w:t xml:space="preserve"> </w:t>
      </w:r>
      <w:r w:rsidR="003E1445" w:rsidRPr="003E1445">
        <w:t xml:space="preserve">CAT activity was determined in hemolysate after native </w:t>
      </w:r>
      <w:r w:rsidR="00584492" w:rsidRPr="00584492">
        <w:rPr>
          <w:bCs/>
        </w:rPr>
        <w:t xml:space="preserve">polyacrylamide gel electrophoresis </w:t>
      </w:r>
      <w:r w:rsidR="003E1445" w:rsidRPr="003E1445">
        <w:t>and specific staining. Prior to staining, the gels were incubated in 0.003% H</w:t>
      </w:r>
      <w:r w:rsidR="003E1445" w:rsidRPr="003E1445">
        <w:rPr>
          <w:vertAlign w:val="subscript"/>
        </w:rPr>
        <w:t>2</w:t>
      </w:r>
      <w:r w:rsidR="003E1445" w:rsidRPr="003E1445">
        <w:t>O</w:t>
      </w:r>
      <w:r w:rsidR="003E1445" w:rsidRPr="003E1445">
        <w:rPr>
          <w:vertAlign w:val="subscript"/>
        </w:rPr>
        <w:t>2</w:t>
      </w:r>
      <w:r w:rsidR="003E1445" w:rsidRPr="003E1445">
        <w:t xml:space="preserve"> for 5 min. The staining solution used for CAT activity contained 1% FeCl</w:t>
      </w:r>
      <w:r w:rsidR="003E1445" w:rsidRPr="003E1445">
        <w:rPr>
          <w:vertAlign w:val="subscript"/>
        </w:rPr>
        <w:t>3</w:t>
      </w:r>
      <w:r w:rsidR="003E1445" w:rsidRPr="003E1445">
        <w:t xml:space="preserve"> and 1% KFe(CN)</w:t>
      </w:r>
      <w:r w:rsidR="003E1445" w:rsidRPr="003E1445">
        <w:rPr>
          <w:vertAlign w:val="subscript"/>
        </w:rPr>
        <w:t>6</w:t>
      </w:r>
      <w:r w:rsidR="003E1445" w:rsidRPr="003E1445">
        <w:t>.</w:t>
      </w:r>
      <w:r w:rsidR="001439F8">
        <w:rPr>
          <w:vertAlign w:val="superscript"/>
          <w:lang w:val="sr-Cyrl-BA"/>
        </w:rPr>
        <w:t xml:space="preserve">18 </w:t>
      </w:r>
      <w:r w:rsidR="00775F4E">
        <w:rPr>
          <w:rStyle w:val="hps"/>
        </w:rPr>
        <w:t>Quantification of</w:t>
      </w:r>
      <w:r w:rsidR="00386CAB">
        <w:rPr>
          <w:rStyle w:val="hps"/>
        </w:rPr>
        <w:t xml:space="preserve"> </w:t>
      </w:r>
      <w:r w:rsidR="00775F4E">
        <w:rPr>
          <w:rStyle w:val="hps"/>
        </w:rPr>
        <w:t>SOD</w:t>
      </w:r>
      <w:r w:rsidR="00BE38C1">
        <w:rPr>
          <w:rStyle w:val="hps"/>
        </w:rPr>
        <w:t>1</w:t>
      </w:r>
      <w:r w:rsidR="00386CAB">
        <w:rPr>
          <w:rStyle w:val="hps"/>
        </w:rPr>
        <w:t xml:space="preserve"> </w:t>
      </w:r>
      <w:r w:rsidR="00775F4E">
        <w:rPr>
          <w:rStyle w:val="hps"/>
        </w:rPr>
        <w:t>and</w:t>
      </w:r>
      <w:r w:rsidR="00386CAB">
        <w:rPr>
          <w:rStyle w:val="hps"/>
        </w:rPr>
        <w:t xml:space="preserve"> </w:t>
      </w:r>
      <w:r w:rsidR="00775F4E">
        <w:rPr>
          <w:rStyle w:val="hps"/>
        </w:rPr>
        <w:t xml:space="preserve">CAT </w:t>
      </w:r>
      <w:r w:rsidR="009C0A3A">
        <w:rPr>
          <w:rStyle w:val="hps"/>
        </w:rPr>
        <w:t>activities on the native gel were</w:t>
      </w:r>
      <w:r w:rsidR="00386CAB">
        <w:rPr>
          <w:rStyle w:val="hps"/>
        </w:rPr>
        <w:t xml:space="preserve"> </w:t>
      </w:r>
      <w:r w:rsidR="00775F4E">
        <w:rPr>
          <w:rStyle w:val="hps"/>
        </w:rPr>
        <w:t>performed using the</w:t>
      </w:r>
      <w:r w:rsidR="00386CAB">
        <w:rPr>
          <w:rStyle w:val="hps"/>
        </w:rPr>
        <w:t xml:space="preserve"> </w:t>
      </w:r>
      <w:r w:rsidR="00775F4E">
        <w:t>Image Master Total Lab TL 120 software (Nonlinear Dynamics Ltd., Durham, USA). Total SOD</w:t>
      </w:r>
      <w:r w:rsidR="00BE38C1">
        <w:t>1</w:t>
      </w:r>
      <w:r w:rsidR="00775F4E">
        <w:t xml:space="preserve"> activity represents the sum of individual isoforms (SOD</w:t>
      </w:r>
      <w:r w:rsidR="00BE38C1">
        <w:t>1</w:t>
      </w:r>
      <w:r w:rsidR="00775F4E">
        <w:t xml:space="preserve"> A and SOD</w:t>
      </w:r>
      <w:r w:rsidR="00BE38C1">
        <w:t>1</w:t>
      </w:r>
      <w:r w:rsidR="00775F4E">
        <w:t xml:space="preserve"> B) activities for each sample</w:t>
      </w:r>
      <w:r w:rsidR="006E35A5">
        <w:t>.</w:t>
      </w:r>
    </w:p>
    <w:p w:rsidR="00EB25C7" w:rsidRDefault="00EB25C7">
      <w:pPr>
        <w:spacing w:line="360" w:lineRule="auto"/>
        <w:ind w:firstLine="709"/>
      </w:pPr>
    </w:p>
    <w:p w:rsidR="00EB25C7" w:rsidRDefault="00A1516A">
      <w:pPr>
        <w:spacing w:line="360" w:lineRule="auto"/>
        <w:rPr>
          <w:i/>
        </w:rPr>
      </w:pPr>
      <w:r w:rsidRPr="00A1516A">
        <w:rPr>
          <w:i/>
        </w:rPr>
        <w:t>Spectrophotometric Determination of GST Activity</w:t>
      </w:r>
    </w:p>
    <w:p w:rsidR="00EB25C7" w:rsidRDefault="00E55E13" w:rsidP="003C25DF">
      <w:pPr>
        <w:spacing w:line="360" w:lineRule="auto"/>
        <w:ind w:firstLine="720"/>
      </w:pPr>
      <w:r>
        <w:t>According to the method of Habig</w:t>
      </w:r>
      <w:r w:rsidR="00ED380F">
        <w:t xml:space="preserve"> </w:t>
      </w:r>
      <w:r w:rsidR="0082738D" w:rsidRPr="0082738D">
        <w:rPr>
          <w:i/>
        </w:rPr>
        <w:t>et al.</w:t>
      </w:r>
      <w:r w:rsidR="001439F8">
        <w:rPr>
          <w:vertAlign w:val="superscript"/>
          <w:lang w:val="sr-Cyrl-BA"/>
        </w:rPr>
        <w:t>19</w:t>
      </w:r>
      <w:r w:rsidR="00386CAB">
        <w:rPr>
          <w:vertAlign w:val="superscript"/>
        </w:rPr>
        <w:t xml:space="preserve"> </w:t>
      </w:r>
      <w:r w:rsidR="00775F4E">
        <w:t>GST activity was determined in hemolysate</w:t>
      </w:r>
      <w:r>
        <w:t>.</w:t>
      </w:r>
      <w:r w:rsidR="00775F4E">
        <w:t xml:space="preserve"> This method was based on binding substrate (1-chloro-2,4-dinitrobenzene (CDNB)) to sulfhydryl group of reduced glutathione (GSH) in reaction catalyzed by GST. The formation </w:t>
      </w:r>
      <w:r w:rsidR="00775F4E">
        <w:lastRenderedPageBreak/>
        <w:t>of the conjugate CDNB-GSH, with a maximum absorption at 340 nm, was measured during 150 s (every 30 s) at 37</w:t>
      </w:r>
      <w:r w:rsidR="00AF0469">
        <w:t> </w:t>
      </w:r>
      <w:r w:rsidR="00775F4E">
        <w:t>°C.</w:t>
      </w:r>
      <w:r w:rsidR="00386CAB">
        <w:t xml:space="preserve"> </w:t>
      </w:r>
      <w:r w:rsidR="008C482E" w:rsidRPr="008C482E">
        <w:rPr>
          <w:color w:val="4F81BD" w:themeColor="accent1"/>
        </w:rPr>
        <w:t xml:space="preserve">GST activity was expressed in U/g </w:t>
      </w:r>
      <w:commentRangeStart w:id="7"/>
      <w:commentRangeStart w:id="8"/>
      <w:r w:rsidR="008C482E" w:rsidRPr="008C482E">
        <w:rPr>
          <w:color w:val="4F81BD" w:themeColor="accent1"/>
        </w:rPr>
        <w:t>Hb</w:t>
      </w:r>
      <w:commentRangeEnd w:id="7"/>
      <w:r w:rsidR="00AF0469">
        <w:rPr>
          <w:rStyle w:val="CommentReference"/>
          <w:rFonts w:ascii="Calibri" w:eastAsia="Calibri" w:hAnsi="Calibri"/>
        </w:rPr>
        <w:commentReference w:id="7"/>
      </w:r>
      <w:r w:rsidR="008C482E" w:rsidRPr="008C482E">
        <w:rPr>
          <w:color w:val="4F81BD" w:themeColor="accent1"/>
        </w:rPr>
        <w:t xml:space="preserve"> </w:t>
      </w:r>
      <w:commentRangeEnd w:id="8"/>
      <w:r w:rsidR="003E52FF">
        <w:rPr>
          <w:rStyle w:val="CommentReference"/>
          <w:rFonts w:ascii="Calibri" w:eastAsia="Calibri" w:hAnsi="Calibri"/>
        </w:rPr>
        <w:commentReference w:id="8"/>
      </w:r>
      <w:commentRangeStart w:id="9"/>
      <w:r w:rsidR="008C482E" w:rsidRPr="003E52FF">
        <w:rPr>
          <w:color w:val="4F81BD" w:themeColor="accent1"/>
          <w:highlight w:val="yellow"/>
        </w:rPr>
        <w:t>(</w:t>
      </w:r>
      <w:commentRangeStart w:id="10"/>
      <w:r w:rsidR="008C482E" w:rsidRPr="003E52FF">
        <w:rPr>
          <w:color w:val="4F81BD" w:themeColor="accent1"/>
          <w:highlight w:val="yellow"/>
        </w:rPr>
        <w:sym w:font="Symbol" w:char="F06D"/>
      </w:r>
      <w:r w:rsidR="008C482E" w:rsidRPr="003E52FF">
        <w:rPr>
          <w:color w:val="4F81BD" w:themeColor="accent1"/>
          <w:highlight w:val="yellow"/>
        </w:rPr>
        <w:t>M GSH/min</w:t>
      </w:r>
      <w:r w:rsidR="00ED380F" w:rsidRPr="003E52FF">
        <w:rPr>
          <w:color w:val="4F81BD" w:themeColor="accent1"/>
          <w:highlight w:val="yellow"/>
        </w:rPr>
        <w:t xml:space="preserve"> x </w:t>
      </w:r>
      <w:r w:rsidR="008C482E" w:rsidRPr="003E52FF">
        <w:rPr>
          <w:color w:val="4F81BD" w:themeColor="accent1"/>
          <w:highlight w:val="yellow"/>
        </w:rPr>
        <w:t>g Hb</w:t>
      </w:r>
      <w:commentRangeEnd w:id="10"/>
      <w:r w:rsidR="00AF0469" w:rsidRPr="003E52FF">
        <w:rPr>
          <w:rStyle w:val="CommentReference"/>
          <w:rFonts w:ascii="Calibri" w:eastAsia="Calibri" w:hAnsi="Calibri"/>
          <w:highlight w:val="yellow"/>
        </w:rPr>
        <w:commentReference w:id="10"/>
      </w:r>
      <w:r w:rsidR="008C482E" w:rsidRPr="003E52FF">
        <w:rPr>
          <w:color w:val="4F81BD" w:themeColor="accent1"/>
          <w:highlight w:val="yellow"/>
        </w:rPr>
        <w:t>).</w:t>
      </w:r>
      <w:commentRangeEnd w:id="9"/>
      <w:r w:rsidR="003E52FF" w:rsidRPr="003E52FF">
        <w:rPr>
          <w:rStyle w:val="CommentReference"/>
          <w:rFonts w:ascii="Calibri" w:eastAsia="Calibri" w:hAnsi="Calibri"/>
          <w:highlight w:val="yellow"/>
        </w:rPr>
        <w:commentReference w:id="9"/>
      </w:r>
    </w:p>
    <w:p w:rsidR="00EB25C7" w:rsidRDefault="00EB25C7">
      <w:pPr>
        <w:spacing w:line="360" w:lineRule="auto"/>
      </w:pPr>
    </w:p>
    <w:p w:rsidR="00EB25C7" w:rsidRDefault="0077486F">
      <w:pPr>
        <w:spacing w:line="360" w:lineRule="auto"/>
        <w:rPr>
          <w:i/>
        </w:rPr>
      </w:pPr>
      <w:r w:rsidRPr="0077486F">
        <w:rPr>
          <w:i/>
        </w:rPr>
        <w:t>Statistical Analysis</w:t>
      </w:r>
    </w:p>
    <w:p w:rsidR="00EB25C7" w:rsidRPr="00063B21" w:rsidRDefault="008C482E" w:rsidP="003C25DF">
      <w:pPr>
        <w:spacing w:line="360" w:lineRule="auto"/>
        <w:ind w:firstLine="720"/>
        <w:rPr>
          <w:color w:val="FF0000"/>
          <w:lang w:val="sr-Cyrl-BA"/>
        </w:rPr>
      </w:pPr>
      <w:r w:rsidRPr="00063B21">
        <w:rPr>
          <w:color w:val="FF0000"/>
        </w:rPr>
        <w:t>Data are given as mean ± SE</w:t>
      </w:r>
      <w:r w:rsidR="00386CAB">
        <w:rPr>
          <w:color w:val="FF0000"/>
        </w:rPr>
        <w:t xml:space="preserve"> </w:t>
      </w:r>
      <w:r w:rsidRPr="00063B21">
        <w:rPr>
          <w:color w:val="FF0000"/>
        </w:rPr>
        <w:t xml:space="preserve">for 6 </w:t>
      </w:r>
      <w:r w:rsidRPr="00063B21">
        <w:rPr>
          <w:color w:val="FF0000"/>
          <w:shd w:val="clear" w:color="auto" w:fill="FFFFFF"/>
        </w:rPr>
        <w:t>healthy volunteers</w:t>
      </w:r>
      <w:r w:rsidRPr="00063B21">
        <w:rPr>
          <w:color w:val="FF0000"/>
        </w:rPr>
        <w:t xml:space="preserve">. For statistical analysis we used the </w:t>
      </w:r>
      <w:r w:rsidRPr="00063B21">
        <w:rPr>
          <w:color w:val="FF0000"/>
          <w:shd w:val="clear" w:color="auto" w:fill="FFFFFF"/>
        </w:rPr>
        <w:t xml:space="preserve">One way ANOVA Tukey test </w:t>
      </w:r>
      <w:r w:rsidRPr="00063B21">
        <w:rPr>
          <w:color w:val="FF0000"/>
        </w:rPr>
        <w:t>for data comparison between controls and treated groups and treated gr</w:t>
      </w:r>
      <w:r w:rsidR="00386CAB">
        <w:rPr>
          <w:color w:val="FF0000"/>
        </w:rPr>
        <w:t>o</w:t>
      </w:r>
      <w:r w:rsidRPr="00063B21">
        <w:rPr>
          <w:color w:val="FF0000"/>
        </w:rPr>
        <w:t>ups to each other.</w:t>
      </w:r>
      <w:r w:rsidR="00386CAB">
        <w:rPr>
          <w:color w:val="FF0000"/>
        </w:rPr>
        <w:t xml:space="preserve"> </w:t>
      </w:r>
      <w:r w:rsidRPr="00063B21">
        <w:rPr>
          <w:color w:val="FF0000"/>
        </w:rPr>
        <w:t xml:space="preserve">In each experiment, control blood samples and samples treated with terbuthylazine were taken from the same person. </w:t>
      </w:r>
      <w:r w:rsidRPr="00063B21">
        <w:rPr>
          <w:color w:val="FF0000"/>
          <w:lang w:val="sr-Latn-BA"/>
        </w:rPr>
        <w:t>The experiments were repeated three times.</w:t>
      </w:r>
    </w:p>
    <w:p w:rsidR="00EB25C7" w:rsidRPr="00CB5B52" w:rsidRDefault="00EB25C7">
      <w:pPr>
        <w:spacing w:line="360" w:lineRule="auto"/>
        <w:rPr>
          <w:color w:val="4F81BD" w:themeColor="accent1"/>
          <w:lang w:val="sr-Latn-BA"/>
        </w:rPr>
      </w:pPr>
    </w:p>
    <w:p w:rsidR="00EB25C7" w:rsidRDefault="0077486F">
      <w:pPr>
        <w:spacing w:line="360" w:lineRule="auto"/>
        <w:jc w:val="center"/>
        <w:rPr>
          <w:lang w:val="sr-Cyrl-BA"/>
        </w:rPr>
      </w:pPr>
      <w:r w:rsidRPr="00C41DEC">
        <w:t>RESULTS AND DISCUSSION</w:t>
      </w:r>
    </w:p>
    <w:p w:rsidR="00EB25C7" w:rsidRPr="00CB5B52" w:rsidRDefault="00A53F9D">
      <w:pPr>
        <w:spacing w:line="360" w:lineRule="auto"/>
        <w:rPr>
          <w:color w:val="FF0000"/>
        </w:rPr>
      </w:pPr>
      <w:r>
        <w:rPr>
          <w:b/>
        </w:rPr>
        <w:tab/>
      </w:r>
      <w:r w:rsidR="008C482E" w:rsidRPr="008C482E">
        <w:rPr>
          <w:color w:val="FF0000"/>
        </w:rPr>
        <w:t xml:space="preserve">The obtained results indicate that changes in SOD1, CAT and GST activities occur in the human erythrocytes treated with commercial herbicide Hemazine SC 500 </w:t>
      </w:r>
      <w:r w:rsidR="008C482E" w:rsidRPr="008C482E">
        <w:rPr>
          <w:i/>
          <w:color w:val="FF0000"/>
        </w:rPr>
        <w:t>in vitro</w:t>
      </w:r>
      <w:r w:rsidR="008C482E" w:rsidRPr="008C482E">
        <w:rPr>
          <w:color w:val="FF0000"/>
        </w:rPr>
        <w:t xml:space="preserve">. </w:t>
      </w:r>
      <w:r w:rsidR="008C482E" w:rsidRPr="008C482E">
        <w:rPr>
          <w:rStyle w:val="gt-baf-back"/>
          <w:color w:val="FF0000"/>
          <w:shd w:val="clear" w:color="auto" w:fill="FFFFFF"/>
        </w:rPr>
        <w:t>Even though</w:t>
      </w:r>
      <w:r w:rsidR="008C482E" w:rsidRPr="008C482E">
        <w:rPr>
          <w:color w:val="FF0000"/>
          <w:shd w:val="clear" w:color="auto" w:fill="FFFFFF"/>
        </w:rPr>
        <w:t>,</w:t>
      </w:r>
      <w:r w:rsidR="00386CAB">
        <w:rPr>
          <w:color w:val="FF0000"/>
          <w:shd w:val="clear" w:color="auto" w:fill="FFFFFF"/>
        </w:rPr>
        <w:t xml:space="preserve"> </w:t>
      </w:r>
      <w:r w:rsidR="008C482E" w:rsidRPr="008C482E">
        <w:rPr>
          <w:color w:val="FF0000"/>
        </w:rPr>
        <w:t>Hemazine's active compound is terbuthylazine with concentration 500 g/L, Hemazin also contains other components which are not listed in the product specification. In our paper</w:t>
      </w:r>
      <w:r w:rsidR="00386CAB">
        <w:rPr>
          <w:color w:val="FF0000"/>
        </w:rPr>
        <w:t xml:space="preserve"> </w:t>
      </w:r>
      <w:r w:rsidR="008C482E" w:rsidRPr="008C482E">
        <w:rPr>
          <w:color w:val="FF0000"/>
        </w:rPr>
        <w:t>we focused discussion on the influence of the active component, terbuthylazine on antioxidative metabolism, although</w:t>
      </w:r>
      <w:r w:rsidR="00386CAB">
        <w:rPr>
          <w:color w:val="FF0000"/>
        </w:rPr>
        <w:t xml:space="preserve"> </w:t>
      </w:r>
      <w:r w:rsidR="008C482E" w:rsidRPr="008C482E">
        <w:rPr>
          <w:color w:val="FF0000"/>
        </w:rPr>
        <w:t>there is a possibility of contribution of terbuthylazine's accompanying components to changes in antioxidative metabolism of erythrocyte.</w:t>
      </w:r>
    </w:p>
    <w:p w:rsidR="00EB25C7" w:rsidRDefault="00EB25C7">
      <w:pPr>
        <w:spacing w:line="360" w:lineRule="auto"/>
      </w:pPr>
    </w:p>
    <w:p w:rsidR="00EB25C7" w:rsidRDefault="00A1516A">
      <w:pPr>
        <w:spacing w:line="360" w:lineRule="auto"/>
        <w:rPr>
          <w:i/>
        </w:rPr>
      </w:pPr>
      <w:r w:rsidRPr="00E60859">
        <w:rPr>
          <w:i/>
        </w:rPr>
        <w:t>SOD1</w:t>
      </w:r>
      <w:r w:rsidR="0077486F" w:rsidRPr="00E60859">
        <w:rPr>
          <w:i/>
        </w:rPr>
        <w:t xml:space="preserve"> activity</w:t>
      </w:r>
    </w:p>
    <w:p w:rsidR="00EB25C7" w:rsidRPr="002B16B7" w:rsidRDefault="00775F4E" w:rsidP="002B16B7">
      <w:pPr>
        <w:spacing w:line="360" w:lineRule="auto"/>
        <w:ind w:firstLine="709"/>
        <w:rPr>
          <w:color w:val="4F81BD" w:themeColor="accent1"/>
          <w:vertAlign w:val="subscript"/>
        </w:rPr>
      </w:pPr>
      <w:r>
        <w:t>In all samples</w:t>
      </w:r>
      <w:r w:rsidR="002C6794">
        <w:t xml:space="preserve"> (control and treated</w:t>
      </w:r>
      <w:r w:rsidR="00386CAB">
        <w:t xml:space="preserve"> </w:t>
      </w:r>
      <w:r w:rsidR="002C6794">
        <w:t>e</w:t>
      </w:r>
      <w:r w:rsidR="002C6794" w:rsidRPr="00CA22AA">
        <w:t>rythrocytes</w:t>
      </w:r>
      <w:r w:rsidR="002C6794">
        <w:t>)</w:t>
      </w:r>
      <w:r w:rsidR="00386CAB">
        <w:t xml:space="preserve"> </w:t>
      </w:r>
      <w:r w:rsidR="00434B32">
        <w:t xml:space="preserve">incubated for 1 and 3 h at 37°C with </w:t>
      </w:r>
      <w:r w:rsidR="00642D00" w:rsidRPr="0029076D">
        <w:t>terbuthylazine</w:t>
      </w:r>
      <w:r>
        <w:t>,</w:t>
      </w:r>
      <w:r w:rsidR="00386CAB">
        <w:t xml:space="preserve"> </w:t>
      </w:r>
      <w:r>
        <w:t xml:space="preserve">two </w:t>
      </w:r>
      <w:r w:rsidR="0021164D">
        <w:t xml:space="preserve">superoxide dismutase </w:t>
      </w:r>
      <w:r>
        <w:t>isoforms (labeled with SOD</w:t>
      </w:r>
      <w:r w:rsidR="00BE38C1">
        <w:t>1</w:t>
      </w:r>
      <w:r>
        <w:t xml:space="preserve"> A and SOD</w:t>
      </w:r>
      <w:r w:rsidR="00BE38C1">
        <w:t>1</w:t>
      </w:r>
      <w:r>
        <w:t xml:space="preserve"> B) were detected with </w:t>
      </w:r>
      <w:commentRangeStart w:id="11"/>
      <w:commentRangeStart w:id="12"/>
      <w:r w:rsidR="0082738D" w:rsidRPr="00A5327D">
        <w:rPr>
          <w:i/>
        </w:rPr>
        <w:t>R</w:t>
      </w:r>
      <w:r w:rsidR="008C482E" w:rsidRPr="00A5327D">
        <w:rPr>
          <w:vertAlign w:val="subscript"/>
        </w:rPr>
        <w:t>f</w:t>
      </w:r>
      <w:commentRangeEnd w:id="11"/>
      <w:r w:rsidR="00AF0469" w:rsidRPr="00A5327D">
        <w:rPr>
          <w:rStyle w:val="CommentReference"/>
          <w:rFonts w:ascii="Calibri" w:eastAsia="Calibri" w:hAnsi="Calibri"/>
        </w:rPr>
        <w:commentReference w:id="11"/>
      </w:r>
      <w:commentRangeEnd w:id="12"/>
      <w:r w:rsidR="00CF6C31">
        <w:rPr>
          <w:rStyle w:val="CommentReference"/>
          <w:rFonts w:ascii="Calibri" w:eastAsia="Calibri" w:hAnsi="Calibri"/>
        </w:rPr>
        <w:commentReference w:id="12"/>
      </w:r>
      <w:r w:rsidR="00386CAB">
        <w:rPr>
          <w:color w:val="4F81BD" w:themeColor="accent1"/>
          <w:vertAlign w:val="subscript"/>
        </w:rPr>
        <w:t xml:space="preserve"> </w:t>
      </w:r>
      <w:r>
        <w:t>values</w:t>
      </w:r>
      <w:r w:rsidR="00CF6C31">
        <w:t xml:space="preserve"> </w:t>
      </w:r>
      <w:r w:rsidR="00CF6C31" w:rsidRPr="00CF6C31">
        <w:rPr>
          <w:highlight w:val="yellow"/>
        </w:rPr>
        <w:t>(</w:t>
      </w:r>
      <w:r w:rsidR="00CF6C31" w:rsidRPr="00CF6C31">
        <w:rPr>
          <w:i/>
          <w:highlight w:val="yellow"/>
        </w:rPr>
        <w:t>R</w:t>
      </w:r>
      <w:r w:rsidR="00CF6C31" w:rsidRPr="00CF6C31">
        <w:rPr>
          <w:i/>
          <w:highlight w:val="yellow"/>
          <w:vertAlign w:val="subscript"/>
        </w:rPr>
        <w:t>f</w:t>
      </w:r>
      <w:r w:rsidR="00CF6C31" w:rsidRPr="00CF6C31">
        <w:rPr>
          <w:highlight w:val="yellow"/>
          <w:vertAlign w:val="subscript"/>
        </w:rPr>
        <w:t xml:space="preserve"> </w:t>
      </w:r>
      <w:r w:rsidR="00CF6C31" w:rsidRPr="00A5327D">
        <w:rPr>
          <w:highlight w:val="yellow"/>
          <w:lang w:val="sr-Latn-BA"/>
        </w:rPr>
        <w:t>=</w:t>
      </w:r>
      <w:r w:rsidR="00386CAB" w:rsidRPr="00CF6C31">
        <w:rPr>
          <w:highlight w:val="yellow"/>
        </w:rPr>
        <w:t xml:space="preserve"> </w:t>
      </w:r>
      <m:oMath>
        <m:f>
          <m:fPr>
            <m:ctrlPr>
              <w:rPr>
                <w:rFonts w:ascii="Cambria Math" w:hAnsi="Cambria Math"/>
                <w:highlight w:val="yellow"/>
              </w:rPr>
            </m:ctrlPr>
          </m:fPr>
          <m:num>
            <m:r>
              <m:rPr>
                <m:sty m:val="p"/>
              </m:rPr>
              <w:rPr>
                <w:rFonts w:ascii="Cambria Math" w:hAnsi="Cambria Math"/>
                <w:highlight w:val="yellow"/>
              </w:rPr>
              <m:t xml:space="preserve">the pathway of the protein </m:t>
            </m:r>
            <m:r>
              <m:rPr>
                <m:sty m:val="p"/>
              </m:rPr>
              <w:rPr>
                <w:rFonts w:ascii="Cambria Math" w:hAnsi="Cambria Math"/>
                <w:highlight w:val="yellow"/>
              </w:rPr>
              <m:t>on electrophoresis</m:t>
            </m:r>
            <m:r>
              <m:rPr>
                <m:sty m:val="p"/>
              </m:rPr>
              <w:rPr>
                <w:rFonts w:ascii="Cambria Math" w:hAnsi="Cambria Math"/>
                <w:highlight w:val="yellow"/>
              </w:rPr>
              <m:t xml:space="preserve"> gel </m:t>
            </m:r>
          </m:num>
          <m:den>
            <m:r>
              <m:rPr>
                <m:sty m:val="p"/>
              </m:rPr>
              <w:rPr>
                <w:rFonts w:ascii="Cambria Math" w:hAnsi="Cambria Math"/>
                <w:highlight w:val="yellow"/>
              </w:rPr>
              <m:t xml:space="preserve">the pathway of the bromophenol blue </m:t>
            </m:r>
            <m:r>
              <m:rPr>
                <m:sty m:val="p"/>
              </m:rPr>
              <w:rPr>
                <w:rFonts w:ascii="Cambria Math" w:hAnsi="Cambria Math"/>
                <w:highlight w:val="yellow"/>
              </w:rPr>
              <m:t>on electrophoresis</m:t>
            </m:r>
            <m:r>
              <m:rPr>
                <m:sty m:val="p"/>
              </m:rPr>
              <w:rPr>
                <w:rFonts w:ascii="Cambria Math" w:hAnsi="Cambria Math"/>
                <w:highlight w:val="yellow"/>
              </w:rPr>
              <m:t xml:space="preserve"> gel</m:t>
            </m:r>
          </m:den>
        </m:f>
      </m:oMath>
      <w:r w:rsidR="00CF6C31" w:rsidRPr="00CF6C31">
        <w:rPr>
          <w:highlight w:val="yellow"/>
        </w:rPr>
        <w:t>)</w:t>
      </w:r>
      <w:r w:rsidR="006E5B39">
        <w:t>:</w:t>
      </w:r>
      <w:r w:rsidR="00C50E45">
        <w:t xml:space="preserve"> </w:t>
      </w:r>
      <w:r w:rsidR="0082738D" w:rsidRPr="00A5327D">
        <w:rPr>
          <w:i/>
        </w:rPr>
        <w:t>R</w:t>
      </w:r>
      <w:r w:rsidR="008C482E" w:rsidRPr="00A5327D">
        <w:rPr>
          <w:vertAlign w:val="subscript"/>
        </w:rPr>
        <w:t>f</w:t>
      </w:r>
      <w:r>
        <w:rPr>
          <w:vertAlign w:val="subscript"/>
        </w:rPr>
        <w:t>SOD</w:t>
      </w:r>
      <w:r w:rsidR="00BE38C1">
        <w:rPr>
          <w:vertAlign w:val="subscript"/>
        </w:rPr>
        <w:t>1</w:t>
      </w:r>
      <w:r>
        <w:rPr>
          <w:vertAlign w:val="subscript"/>
        </w:rPr>
        <w:t xml:space="preserve"> A</w:t>
      </w:r>
      <w:r>
        <w:t xml:space="preserve"> = 0.340 ± 0.066 and </w:t>
      </w:r>
      <w:r w:rsidR="0082738D" w:rsidRPr="00A5327D">
        <w:rPr>
          <w:i/>
        </w:rPr>
        <w:t>R</w:t>
      </w:r>
      <w:r w:rsidR="0082738D" w:rsidRPr="00A5327D">
        <w:rPr>
          <w:i/>
          <w:vertAlign w:val="subscript"/>
        </w:rPr>
        <w:t>f</w:t>
      </w:r>
      <w:r w:rsidRPr="00A5327D">
        <w:rPr>
          <w:vertAlign w:val="subscript"/>
        </w:rPr>
        <w:t>S</w:t>
      </w:r>
      <w:r>
        <w:rPr>
          <w:vertAlign w:val="subscript"/>
        </w:rPr>
        <w:t>OD</w:t>
      </w:r>
      <w:r w:rsidR="00BE38C1">
        <w:rPr>
          <w:vertAlign w:val="subscript"/>
        </w:rPr>
        <w:t>1</w:t>
      </w:r>
      <w:r>
        <w:rPr>
          <w:vertAlign w:val="subscript"/>
        </w:rPr>
        <w:t xml:space="preserve"> B </w:t>
      </w:r>
      <w:r>
        <w:t>= 0.510 ± 0.047</w:t>
      </w:r>
      <w:r w:rsidR="00A5327D">
        <w:t xml:space="preserve"> </w:t>
      </w:r>
      <w:r w:rsidR="001D602E">
        <w:rPr>
          <w:lang w:val="sr-Latn-BA"/>
        </w:rPr>
        <w:t xml:space="preserve">(Fig. </w:t>
      </w:r>
      <w:r w:rsidR="00C50E45" w:rsidRPr="0053620A">
        <w:rPr>
          <w:lang w:val="sr-Latn-BA"/>
        </w:rPr>
        <w:t>2</w:t>
      </w:r>
      <w:r w:rsidR="001D602E" w:rsidRPr="0053620A">
        <w:rPr>
          <w:lang w:val="sr-Latn-BA"/>
        </w:rPr>
        <w:t>A</w:t>
      </w:r>
      <w:r w:rsidR="001D602E">
        <w:rPr>
          <w:lang w:val="sr-Latn-BA"/>
        </w:rPr>
        <w:t xml:space="preserve"> and B)</w:t>
      </w:r>
      <w:r w:rsidRPr="00EF31EE">
        <w:t>.</w:t>
      </w:r>
    </w:p>
    <w:p w:rsidR="00EB25C7" w:rsidRDefault="001C4E72">
      <w:pPr>
        <w:spacing w:line="360" w:lineRule="auto"/>
        <w:jc w:val="center"/>
      </w:pPr>
      <w:r>
        <w:rPr>
          <w:noProof/>
        </w:rPr>
        <w:drawing>
          <wp:inline distT="0" distB="0" distL="0" distR="0">
            <wp:extent cx="3320498" cy="1992299"/>
            <wp:effectExtent l="19050" t="0" r="0" b="0"/>
            <wp:docPr id="4" name="Picture 3" descr="gelovi SOD1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ovi SOD1 1.tif"/>
                    <pic:cNvPicPr/>
                  </pic:nvPicPr>
                  <pic:blipFill>
                    <a:blip r:embed="rId11" cstate="print"/>
                    <a:stretch>
                      <a:fillRect/>
                    </a:stretch>
                  </pic:blipFill>
                  <pic:spPr>
                    <a:xfrm>
                      <a:off x="0" y="0"/>
                      <a:ext cx="3322027" cy="1993216"/>
                    </a:xfrm>
                    <a:prstGeom prst="rect">
                      <a:avLst/>
                    </a:prstGeom>
                  </pic:spPr>
                </pic:pic>
              </a:graphicData>
            </a:graphic>
          </wp:inline>
        </w:drawing>
      </w:r>
    </w:p>
    <w:p w:rsidR="00EB25C7" w:rsidRDefault="00EB25C7">
      <w:pPr>
        <w:spacing w:line="360" w:lineRule="auto"/>
        <w:ind w:firstLine="709"/>
      </w:pPr>
    </w:p>
    <w:p w:rsidR="00EB25C7" w:rsidRDefault="00090EB9">
      <w:pPr>
        <w:spacing w:line="360" w:lineRule="auto"/>
        <w:jc w:val="center"/>
      </w:pPr>
      <w:r w:rsidRPr="005433F5">
        <w:rPr>
          <w:lang w:val="sr-Latn-BA"/>
        </w:rPr>
        <w:lastRenderedPageBreak/>
        <w:t xml:space="preserve">Fig. </w:t>
      </w:r>
      <w:r w:rsidR="00C50E45" w:rsidRPr="0053620A">
        <w:rPr>
          <w:lang w:val="sr-Latn-BA"/>
        </w:rPr>
        <w:t>2</w:t>
      </w:r>
      <w:r w:rsidRPr="005433F5">
        <w:rPr>
          <w:lang w:val="sr-Latn-BA"/>
        </w:rPr>
        <w:t>. The representative native electrophoresis gel with separated SOD1 isoforms.</w:t>
      </w:r>
      <w:r>
        <w:t xml:space="preserve"> I</w:t>
      </w:r>
      <w:r w:rsidRPr="004A7AEE">
        <w:t>n SOD fraction of the control sample (0) and</w:t>
      </w:r>
      <w:r>
        <w:t xml:space="preserve"> treated </w:t>
      </w:r>
      <w:r w:rsidRPr="004A7AEE">
        <w:t>groups</w:t>
      </w:r>
      <w:r>
        <w:t xml:space="preserve"> were detected SOD1</w:t>
      </w:r>
      <w:r w:rsidRPr="004A7AEE">
        <w:t xml:space="preserve"> A and </w:t>
      </w:r>
      <w:r>
        <w:t>SOD1</w:t>
      </w:r>
      <w:r w:rsidRPr="004A7AEE">
        <w:t xml:space="preserve"> B isoforms</w:t>
      </w:r>
      <w:r>
        <w:t>. E</w:t>
      </w:r>
      <w:r w:rsidRPr="004A7AEE">
        <w:t xml:space="preserve">rythrocytes </w:t>
      </w:r>
      <w:r>
        <w:t xml:space="preserve">were </w:t>
      </w:r>
      <w:r w:rsidRPr="004A7AEE">
        <w:t>treated with</w:t>
      </w:r>
      <w:r w:rsidR="00C50E45">
        <w:t xml:space="preserve"> </w:t>
      </w:r>
      <w:r w:rsidR="00BC1D8A">
        <w:t xml:space="preserve">37 </w:t>
      </w:r>
      <w:r w:rsidR="00BC1D8A">
        <w:sym w:font="Symbol" w:char="F06D"/>
      </w:r>
      <w:r w:rsidR="00BC1D8A">
        <w:t>mol/L</w:t>
      </w:r>
      <w:r w:rsidR="00C912F2">
        <w:t>,</w:t>
      </w:r>
      <w:r w:rsidR="00C50E45">
        <w:t xml:space="preserve"> </w:t>
      </w:r>
      <w:r w:rsidR="00BC1D8A">
        <w:t xml:space="preserve">3.7 </w:t>
      </w:r>
      <w:r w:rsidR="00BC1D8A">
        <w:sym w:font="Symbol" w:char="F06D"/>
      </w:r>
      <w:r w:rsidR="00BC1D8A">
        <w:t>mol/L</w:t>
      </w:r>
      <w:r w:rsidRPr="004A7AEE">
        <w:t xml:space="preserve"> and </w:t>
      </w:r>
      <w:r w:rsidR="00BC1D8A">
        <w:t>37 nmol/L</w:t>
      </w:r>
      <w:r w:rsidR="00C50E45">
        <w:t xml:space="preserve"> </w:t>
      </w:r>
      <w:r w:rsidR="00642D00" w:rsidRPr="005160DD">
        <w:t>terbuthylazine</w:t>
      </w:r>
      <w:r w:rsidRPr="005160DD">
        <w:t xml:space="preserve"> a</w:t>
      </w:r>
      <w:r>
        <w:t>nd</w:t>
      </w:r>
      <w:r w:rsidRPr="004A7AEE">
        <w:t xml:space="preserve"> incubated for 1 h (A) and 3 h (B) at 37°C.</w:t>
      </w:r>
    </w:p>
    <w:p w:rsidR="00EB25C7" w:rsidRDefault="00EB25C7">
      <w:pPr>
        <w:spacing w:line="360" w:lineRule="auto"/>
        <w:jc w:val="center"/>
      </w:pPr>
    </w:p>
    <w:p w:rsidR="001F0C2A" w:rsidRDefault="008C482E" w:rsidP="001F0C2A">
      <w:pPr>
        <w:spacing w:line="360" w:lineRule="auto"/>
        <w:ind w:firstLine="567"/>
        <w:rPr>
          <w:color w:val="FF0000"/>
        </w:rPr>
      </w:pPr>
      <w:r w:rsidRPr="008C482E">
        <w:rPr>
          <w:color w:val="FF0000"/>
        </w:rPr>
        <w:t>Available literature data shown that change of antioxidative metabolism of erythrocytes depends of type of pesticide (structure), treatment conditions and concentrations of pesticides.</w:t>
      </w:r>
      <w:r w:rsidR="001439F8">
        <w:rPr>
          <w:color w:val="FF0000"/>
          <w:vertAlign w:val="superscript"/>
          <w:lang w:val="sr-Cyrl-BA"/>
        </w:rPr>
        <w:t>3</w:t>
      </w:r>
      <w:r w:rsidRPr="008C482E">
        <w:rPr>
          <w:color w:val="FF0000"/>
          <w:vertAlign w:val="superscript"/>
        </w:rPr>
        <w:t>,</w:t>
      </w:r>
      <w:r w:rsidR="001439F8">
        <w:rPr>
          <w:color w:val="FF0000"/>
          <w:vertAlign w:val="superscript"/>
          <w:lang w:val="sr-Cyrl-BA"/>
        </w:rPr>
        <w:t>20</w:t>
      </w:r>
      <w:r w:rsidRPr="008C482E">
        <w:rPr>
          <w:color w:val="FF0000"/>
          <w:vertAlign w:val="superscript"/>
        </w:rPr>
        <w:t>,</w:t>
      </w:r>
      <w:r w:rsidR="001439F8">
        <w:rPr>
          <w:color w:val="FF0000"/>
          <w:vertAlign w:val="superscript"/>
          <w:lang w:val="sr-Cyrl-BA"/>
        </w:rPr>
        <w:t xml:space="preserve">21 </w:t>
      </w:r>
      <w:r w:rsidRPr="008C482E">
        <w:rPr>
          <w:color w:val="FF0000"/>
        </w:rPr>
        <w:t>Although</w:t>
      </w:r>
      <w:r w:rsidR="00C50E45">
        <w:rPr>
          <w:color w:val="FF0000"/>
        </w:rPr>
        <w:t>,</w:t>
      </w:r>
      <w:r w:rsidRPr="008C482E">
        <w:rPr>
          <w:color w:val="FF0000"/>
        </w:rPr>
        <w:t xml:space="preserve"> terbuthylazine treatment did not lead to any changes in the isoenzyme profiles, it did induce changes in SOD1 activity (Fig.</w:t>
      </w:r>
      <w:r w:rsidR="00256244">
        <w:rPr>
          <w:color w:val="FF0000"/>
        </w:rPr>
        <w:t xml:space="preserve"> </w:t>
      </w:r>
      <w:r w:rsidR="00C50E45" w:rsidRPr="00256244">
        <w:rPr>
          <w:color w:val="FF0000"/>
        </w:rPr>
        <w:t>3</w:t>
      </w:r>
      <w:r w:rsidRPr="008C482E">
        <w:rPr>
          <w:color w:val="FF0000"/>
        </w:rPr>
        <w:t xml:space="preserve">). </w:t>
      </w:r>
      <w:r w:rsidR="00D15821" w:rsidRPr="00D15821">
        <w:t>Terbuthylazine</w:t>
      </w:r>
      <w:r w:rsidR="00BD47A6">
        <w:t xml:space="preserve"> in all concentrations (</w:t>
      </w:r>
      <w:r w:rsidRPr="008C482E">
        <w:rPr>
          <w:color w:val="FF0000"/>
        </w:rPr>
        <w:t xml:space="preserve">except 37 </w:t>
      </w:r>
      <w:r w:rsidRPr="008C482E">
        <w:rPr>
          <w:color w:val="FF0000"/>
        </w:rPr>
        <w:sym w:font="Symbol" w:char="F06D"/>
      </w:r>
      <w:r w:rsidRPr="008C482E">
        <w:rPr>
          <w:color w:val="FF0000"/>
        </w:rPr>
        <w:t xml:space="preserve">mol/L, incubation 1 h </w:t>
      </w:r>
      <w:r w:rsidR="003E3F67">
        <w:t>and</w:t>
      </w:r>
      <w:r w:rsidR="00256244">
        <w:t xml:space="preserve"> </w:t>
      </w:r>
      <w:r w:rsidR="00BD47A6">
        <w:t xml:space="preserve">37 nmol/L, incubation for 3 h) significantly changed </w:t>
      </w:r>
      <w:r w:rsidR="00BD47A6" w:rsidRPr="009C789A">
        <w:t>SOD</w:t>
      </w:r>
      <w:r w:rsidR="00BD47A6">
        <w:t>1</w:t>
      </w:r>
      <w:r w:rsidR="00BD47A6" w:rsidRPr="009C789A">
        <w:t xml:space="preserve"> activity in the samples incubated for 1 and 3 h</w:t>
      </w:r>
      <w:r w:rsidR="00C50E45">
        <w:t xml:space="preserve"> </w:t>
      </w:r>
      <w:r w:rsidRPr="008C482E">
        <w:rPr>
          <w:color w:val="FF0000"/>
        </w:rPr>
        <w:t>compared to the controls (420694</w:t>
      </w:r>
      <w:r w:rsidRPr="008C482E">
        <w:rPr>
          <w:color w:val="FF0000"/>
          <w:lang w:val="sr-Latn-BA"/>
        </w:rPr>
        <w:t>±18995 U/</w:t>
      </w:r>
      <w:commentRangeStart w:id="13"/>
      <w:r w:rsidRPr="0012696E">
        <w:rPr>
          <w:color w:val="FF0000"/>
          <w:highlight w:val="yellow"/>
          <w:lang w:val="sr-Latn-BA"/>
        </w:rPr>
        <w:t>g</w:t>
      </w:r>
      <w:r w:rsidR="00ED380F" w:rsidRPr="0012696E">
        <w:rPr>
          <w:color w:val="FF0000"/>
          <w:highlight w:val="yellow"/>
          <w:lang w:val="sr-Latn-BA"/>
        </w:rPr>
        <w:t xml:space="preserve"> </w:t>
      </w:r>
      <w:r w:rsidR="0082738D" w:rsidRPr="0012696E">
        <w:rPr>
          <w:color w:val="FF0000"/>
          <w:highlight w:val="yellow"/>
          <w:lang w:val="sr-Latn-BA"/>
        </w:rPr>
        <w:t>Hb</w:t>
      </w:r>
      <w:commentRangeEnd w:id="13"/>
      <w:r w:rsidR="00AF0469" w:rsidRPr="0012696E">
        <w:rPr>
          <w:rStyle w:val="CommentReference"/>
          <w:rFonts w:ascii="Calibri" w:eastAsia="Calibri" w:hAnsi="Calibri"/>
          <w:highlight w:val="yellow"/>
        </w:rPr>
        <w:commentReference w:id="13"/>
      </w:r>
      <w:r w:rsidR="003D349E" w:rsidRPr="0012696E">
        <w:rPr>
          <w:color w:val="FF0000"/>
          <w:highlight w:val="yellow"/>
          <w:lang w:val="sr-Cyrl-BA"/>
        </w:rPr>
        <w:t>)</w:t>
      </w:r>
      <w:r w:rsidR="00C50E45">
        <w:rPr>
          <w:color w:val="FF0000"/>
        </w:rPr>
        <w:t xml:space="preserve"> </w:t>
      </w:r>
      <w:r w:rsidRPr="008C482E">
        <w:rPr>
          <w:color w:val="FF0000"/>
          <w:lang w:val="sr-Latn-BA"/>
        </w:rPr>
        <w:t xml:space="preserve">for </w:t>
      </w:r>
      <w:r w:rsidRPr="008C482E">
        <w:rPr>
          <w:color w:val="FF0000"/>
        </w:rPr>
        <w:t xml:space="preserve">1h and </w:t>
      </w:r>
      <w:r w:rsidR="003D349E" w:rsidRPr="008C482E">
        <w:rPr>
          <w:color w:val="FF0000"/>
          <w:lang w:val="sr-Latn-BA"/>
        </w:rPr>
        <w:t>3</w:t>
      </w:r>
      <w:r w:rsidR="003D349E" w:rsidRPr="008C482E">
        <w:rPr>
          <w:color w:val="FF0000"/>
        </w:rPr>
        <w:t xml:space="preserve">h </w:t>
      </w:r>
      <w:r w:rsidR="003D349E">
        <w:rPr>
          <w:color w:val="FF0000"/>
          <w:lang w:val="sr-Cyrl-BA"/>
        </w:rPr>
        <w:t>(</w:t>
      </w:r>
      <w:r w:rsidRPr="008C482E">
        <w:rPr>
          <w:color w:val="FF0000"/>
        </w:rPr>
        <w:t>420197</w:t>
      </w:r>
      <w:r w:rsidRPr="008C482E">
        <w:rPr>
          <w:color w:val="FF0000"/>
          <w:lang w:val="sr-Latn-BA"/>
        </w:rPr>
        <w:t xml:space="preserve">±28530 </w:t>
      </w:r>
      <w:r w:rsidR="0082738D" w:rsidRPr="0082738D">
        <w:rPr>
          <w:color w:val="FF0000"/>
          <w:highlight w:val="yellow"/>
          <w:lang w:val="sr-Latn-BA"/>
        </w:rPr>
        <w:t>U/g</w:t>
      </w:r>
      <w:r w:rsidR="00C50E45">
        <w:rPr>
          <w:color w:val="FF0000"/>
          <w:highlight w:val="yellow"/>
          <w:lang w:val="sr-Latn-BA"/>
        </w:rPr>
        <w:t xml:space="preserve"> </w:t>
      </w:r>
      <w:r w:rsidR="0082738D" w:rsidRPr="0082738D">
        <w:rPr>
          <w:color w:val="FF0000"/>
          <w:highlight w:val="yellow"/>
          <w:lang w:val="sr-Latn-BA"/>
        </w:rPr>
        <w:t>Hb</w:t>
      </w:r>
      <w:r w:rsidRPr="008C482E">
        <w:rPr>
          <w:color w:val="FF0000"/>
        </w:rPr>
        <w:t xml:space="preserve">). </w:t>
      </w:r>
      <w:r w:rsidR="00BD47A6" w:rsidRPr="009C789A">
        <w:t>After 1 h of incubation,</w:t>
      </w:r>
      <w:r w:rsidR="00C50E45">
        <w:t xml:space="preserve"> </w:t>
      </w:r>
      <w:r w:rsidR="00BD47A6" w:rsidRPr="009C789A">
        <w:t>SOD</w:t>
      </w:r>
      <w:r w:rsidR="00BD47A6">
        <w:t>1</w:t>
      </w:r>
      <w:r w:rsidR="00BD47A6" w:rsidRPr="009C789A">
        <w:t xml:space="preserve"> activity increased in the samples treated with </w:t>
      </w:r>
      <w:r w:rsidR="00BD47A6">
        <w:t>concentrations: 37 nmol/L (p&lt;0.01)</w:t>
      </w:r>
      <w:r w:rsidR="00C50E45">
        <w:t xml:space="preserve"> </w:t>
      </w:r>
      <w:r w:rsidRPr="008C482E">
        <w:rPr>
          <w:color w:val="FF0000"/>
          <w:lang w:val="sr-Latn-BA"/>
        </w:rPr>
        <w:t xml:space="preserve">(527926±29308 </w:t>
      </w:r>
      <w:r w:rsidR="0082738D" w:rsidRPr="0082738D">
        <w:rPr>
          <w:color w:val="FF0000"/>
          <w:highlight w:val="yellow"/>
          <w:lang w:val="sr-Latn-BA"/>
        </w:rPr>
        <w:t>U/g</w:t>
      </w:r>
      <w:r w:rsidR="00C50E45">
        <w:rPr>
          <w:color w:val="FF0000"/>
          <w:highlight w:val="yellow"/>
          <w:lang w:val="sr-Latn-BA"/>
        </w:rPr>
        <w:t xml:space="preserve"> </w:t>
      </w:r>
      <w:r w:rsidR="0082738D" w:rsidRPr="0082738D">
        <w:rPr>
          <w:color w:val="FF0000"/>
          <w:highlight w:val="yellow"/>
          <w:lang w:val="sr-Latn-BA"/>
        </w:rPr>
        <w:t>Hb</w:t>
      </w:r>
      <w:r w:rsidRPr="008C482E">
        <w:rPr>
          <w:color w:val="FF0000"/>
          <w:lang w:val="sr-Latn-BA"/>
        </w:rPr>
        <w:t>)</w:t>
      </w:r>
      <w:r w:rsidR="0012696E">
        <w:rPr>
          <w:color w:val="FF0000"/>
          <w:lang w:val="sr-Latn-BA"/>
        </w:rPr>
        <w:t xml:space="preserve"> </w:t>
      </w:r>
      <w:r w:rsidR="00942CE5">
        <w:t>and</w:t>
      </w:r>
      <w:r w:rsidR="00BD47A6">
        <w:t xml:space="preserve"> 3.7 </w:t>
      </w:r>
      <w:r w:rsidR="00BD47A6">
        <w:sym w:font="Symbol" w:char="F06D"/>
      </w:r>
      <w:r w:rsidR="00BD47A6">
        <w:t>mol/L</w:t>
      </w:r>
      <w:r w:rsidR="00C50E45">
        <w:t xml:space="preserve"> </w:t>
      </w:r>
      <w:r w:rsidR="00BD47A6">
        <w:t>(p&lt;0.005)</w:t>
      </w:r>
      <w:r w:rsidR="00C11D1D">
        <w:t xml:space="preserve"> (</w:t>
      </w:r>
      <w:r w:rsidRPr="008C482E">
        <w:rPr>
          <w:color w:val="FF0000"/>
        </w:rPr>
        <w:t>667220</w:t>
      </w:r>
      <w:r w:rsidRPr="008C482E">
        <w:rPr>
          <w:color w:val="FF0000"/>
          <w:lang w:val="sr-Latn-BA"/>
        </w:rPr>
        <w:t>±27949</w:t>
      </w:r>
      <w:r w:rsidR="00C50E45">
        <w:rPr>
          <w:color w:val="FF0000"/>
          <w:lang w:val="sr-Latn-BA"/>
        </w:rPr>
        <w:t xml:space="preserve"> </w:t>
      </w:r>
      <w:r w:rsidR="0082738D" w:rsidRPr="0082738D">
        <w:rPr>
          <w:color w:val="FF0000"/>
          <w:highlight w:val="yellow"/>
          <w:lang w:val="sr-Latn-BA"/>
        </w:rPr>
        <w:t>U/g</w:t>
      </w:r>
      <w:r w:rsidR="00C50E45">
        <w:rPr>
          <w:color w:val="FF0000"/>
          <w:highlight w:val="yellow"/>
          <w:lang w:val="sr-Latn-BA"/>
        </w:rPr>
        <w:t xml:space="preserve"> </w:t>
      </w:r>
      <w:r w:rsidR="0082738D" w:rsidRPr="0082738D">
        <w:rPr>
          <w:color w:val="FF0000"/>
          <w:highlight w:val="yellow"/>
          <w:lang w:val="sr-Latn-BA"/>
        </w:rPr>
        <w:t>Hb</w:t>
      </w:r>
      <w:r w:rsidRPr="008C482E">
        <w:rPr>
          <w:color w:val="FF0000"/>
        </w:rPr>
        <w:t>)</w:t>
      </w:r>
      <w:r w:rsidR="00D565C0" w:rsidRPr="00C11D1D">
        <w:t>,</w:t>
      </w:r>
      <w:r w:rsidR="00BD47A6">
        <w:t xml:space="preserve"> as well as after 3 h incubation with concentration of 3.7 </w:t>
      </w:r>
      <w:r w:rsidR="00BD47A6">
        <w:sym w:font="Symbol" w:char="F06D"/>
      </w:r>
      <w:r w:rsidR="00BD47A6">
        <w:t>mol/L</w:t>
      </w:r>
      <w:r w:rsidR="00C50E45">
        <w:t xml:space="preserve"> </w:t>
      </w:r>
      <w:r w:rsidR="00BD47A6">
        <w:t>(p&lt;0.005)</w:t>
      </w:r>
      <w:r w:rsidR="00C50E45">
        <w:t xml:space="preserve"> </w:t>
      </w:r>
      <w:r w:rsidRPr="008C482E">
        <w:rPr>
          <w:color w:val="FF0000"/>
        </w:rPr>
        <w:t>(597906</w:t>
      </w:r>
      <w:r w:rsidRPr="008C482E">
        <w:rPr>
          <w:color w:val="FF0000"/>
          <w:lang w:val="sr-Latn-BA"/>
        </w:rPr>
        <w:t>±</w:t>
      </w:r>
      <w:r w:rsidRPr="008C482E">
        <w:rPr>
          <w:color w:val="FF0000"/>
        </w:rPr>
        <w:t xml:space="preserve">25600 </w:t>
      </w:r>
      <w:r w:rsidR="0082738D" w:rsidRPr="0082738D">
        <w:rPr>
          <w:color w:val="FF0000"/>
          <w:highlight w:val="yellow"/>
          <w:lang w:val="sr-Latn-BA"/>
        </w:rPr>
        <w:t>U/g</w:t>
      </w:r>
      <w:r w:rsidR="00C50E45">
        <w:rPr>
          <w:color w:val="FF0000"/>
          <w:highlight w:val="yellow"/>
          <w:lang w:val="sr-Latn-BA"/>
        </w:rPr>
        <w:t xml:space="preserve"> </w:t>
      </w:r>
      <w:r w:rsidR="0082738D" w:rsidRPr="0082738D">
        <w:rPr>
          <w:color w:val="FF0000"/>
          <w:highlight w:val="yellow"/>
          <w:lang w:val="sr-Latn-BA"/>
        </w:rPr>
        <w:t>Hb</w:t>
      </w:r>
      <w:r w:rsidRPr="008C482E">
        <w:rPr>
          <w:color w:val="FF0000"/>
        </w:rPr>
        <w:t>)</w:t>
      </w:r>
      <w:r w:rsidR="00C50E45">
        <w:rPr>
          <w:color w:val="FF0000"/>
        </w:rPr>
        <w:t xml:space="preserve"> </w:t>
      </w:r>
      <w:r w:rsidR="00BD47A6" w:rsidRPr="005433F5">
        <w:t xml:space="preserve">(Fig. </w:t>
      </w:r>
      <w:r w:rsidR="00C50E45" w:rsidRPr="00256244">
        <w:t>3</w:t>
      </w:r>
      <w:r w:rsidR="00BD47A6" w:rsidRPr="005433F5">
        <w:t xml:space="preserve">). </w:t>
      </w:r>
      <w:r w:rsidR="005433F5" w:rsidRPr="005433F5">
        <w:t>A</w:t>
      </w:r>
      <w:r w:rsidR="00BD47A6" w:rsidRPr="005433F5">
        <w:t xml:space="preserve"> significant decrease in SOD1 activity </w:t>
      </w:r>
      <w:r w:rsidR="00942CE5" w:rsidRPr="005433F5">
        <w:t>(p&lt;0.01)</w:t>
      </w:r>
      <w:r w:rsidR="00C50E45">
        <w:t xml:space="preserve"> </w:t>
      </w:r>
      <w:r w:rsidRPr="008C482E">
        <w:rPr>
          <w:color w:val="FF0000"/>
        </w:rPr>
        <w:t>(270598</w:t>
      </w:r>
      <w:r w:rsidRPr="008C482E">
        <w:rPr>
          <w:color w:val="FF0000"/>
          <w:lang w:val="sr-Latn-BA"/>
        </w:rPr>
        <w:t>±23388</w:t>
      </w:r>
      <w:r w:rsidR="00FF181A">
        <w:rPr>
          <w:color w:val="FF0000"/>
          <w:lang w:val="sr-Latn-BA"/>
        </w:rPr>
        <w:t xml:space="preserve"> </w:t>
      </w:r>
      <w:r w:rsidR="0082738D" w:rsidRPr="0082738D">
        <w:rPr>
          <w:color w:val="FF0000"/>
          <w:highlight w:val="yellow"/>
          <w:lang w:val="sr-Latn-BA"/>
        </w:rPr>
        <w:t>U/g</w:t>
      </w:r>
      <w:r w:rsidR="00C50E45">
        <w:rPr>
          <w:color w:val="FF0000"/>
          <w:highlight w:val="yellow"/>
          <w:lang w:val="sr-Latn-BA"/>
        </w:rPr>
        <w:t xml:space="preserve"> </w:t>
      </w:r>
      <w:r w:rsidR="0082738D" w:rsidRPr="0082738D">
        <w:rPr>
          <w:color w:val="FF0000"/>
          <w:highlight w:val="yellow"/>
          <w:lang w:val="sr-Latn-BA"/>
        </w:rPr>
        <w:t>Hb</w:t>
      </w:r>
      <w:r w:rsidRPr="008C482E">
        <w:rPr>
          <w:color w:val="FF0000"/>
        </w:rPr>
        <w:t>)</w:t>
      </w:r>
      <w:r w:rsidR="006108EF">
        <w:rPr>
          <w:color w:val="FF0000"/>
        </w:rPr>
        <w:t xml:space="preserve"> </w:t>
      </w:r>
      <w:r w:rsidR="00BD47A6" w:rsidRPr="005433F5">
        <w:t>was</w:t>
      </w:r>
      <w:r w:rsidR="00BD47A6">
        <w:t xml:space="preserve"> measured only at the highest concentrations of </w:t>
      </w:r>
      <w:r w:rsidR="00E46BCF">
        <w:t>t</w:t>
      </w:r>
      <w:r w:rsidR="00E46BCF" w:rsidRPr="00094ACC">
        <w:t>erbuthylazine</w:t>
      </w:r>
      <w:r w:rsidR="005433F5">
        <w:t xml:space="preserve"> after incubation for 3 h</w:t>
      </w:r>
      <w:r w:rsidR="00BD47A6">
        <w:t>.</w:t>
      </w:r>
      <w:r w:rsidR="00C50E45">
        <w:t xml:space="preserve"> </w:t>
      </w:r>
      <w:r w:rsidRPr="008C482E">
        <w:rPr>
          <w:color w:val="FF0000"/>
        </w:rPr>
        <w:t xml:space="preserve">The statistically significant difference between treatments for both incubation periods was between 3.7 </w:t>
      </w:r>
      <w:r w:rsidRPr="008C482E">
        <w:rPr>
          <w:color w:val="FF0000"/>
        </w:rPr>
        <w:sym w:font="Symbol" w:char="F06D"/>
      </w:r>
      <w:r w:rsidRPr="008C482E">
        <w:rPr>
          <w:color w:val="FF0000"/>
        </w:rPr>
        <w:t xml:space="preserve">M and lower and higher terbuthylazine concentrations (Fig. </w:t>
      </w:r>
      <w:r w:rsidR="00C50E45" w:rsidRPr="00256244">
        <w:rPr>
          <w:color w:val="FF0000"/>
        </w:rPr>
        <w:t>3</w:t>
      </w:r>
      <w:r w:rsidRPr="00256244">
        <w:rPr>
          <w:color w:val="FF0000"/>
        </w:rPr>
        <w:t>)</w:t>
      </w:r>
      <w:r w:rsidRPr="008C482E">
        <w:rPr>
          <w:color w:val="FF0000"/>
        </w:rPr>
        <w:t>.</w:t>
      </w:r>
    </w:p>
    <w:p w:rsidR="001F0C2A" w:rsidRDefault="001F0C2A" w:rsidP="001F0C2A">
      <w:pPr>
        <w:spacing w:line="360" w:lineRule="auto"/>
        <w:ind w:firstLine="567"/>
        <w:rPr>
          <w:color w:val="FF0000"/>
        </w:rPr>
      </w:pPr>
    </w:p>
    <w:p w:rsidR="001F0C2A" w:rsidRPr="008C482E" w:rsidRDefault="00FF181A" w:rsidP="001F0C2A">
      <w:pPr>
        <w:spacing w:line="360" w:lineRule="auto"/>
        <w:ind w:firstLine="567"/>
        <w:jc w:val="center"/>
        <w:rPr>
          <w:color w:val="FF0000"/>
        </w:rPr>
      </w:pPr>
      <w:r>
        <w:rPr>
          <w:noProof/>
          <w:color w:val="FF0000"/>
        </w:rPr>
        <w:drawing>
          <wp:inline distT="0" distB="0" distL="0" distR="0">
            <wp:extent cx="2665726" cy="2333549"/>
            <wp:effectExtent l="19050" t="0" r="1274" b="0"/>
            <wp:docPr id="8" name="Picture 7" descr="Fig. 3 correct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corrected.tif"/>
                    <pic:cNvPicPr/>
                  </pic:nvPicPr>
                  <pic:blipFill>
                    <a:blip r:embed="rId12"/>
                    <a:stretch>
                      <a:fillRect/>
                    </a:stretch>
                  </pic:blipFill>
                  <pic:spPr>
                    <a:xfrm>
                      <a:off x="0" y="0"/>
                      <a:ext cx="2659967" cy="2328508"/>
                    </a:xfrm>
                    <a:prstGeom prst="rect">
                      <a:avLst/>
                    </a:prstGeom>
                  </pic:spPr>
                </pic:pic>
              </a:graphicData>
            </a:graphic>
          </wp:inline>
        </w:drawing>
      </w:r>
      <w:r w:rsidR="00ED380F">
        <w:rPr>
          <w:rStyle w:val="CommentReference"/>
          <w:rFonts w:ascii="Calibri" w:eastAsia="Calibri" w:hAnsi="Calibri"/>
        </w:rPr>
        <w:commentReference w:id="14"/>
      </w:r>
      <w:r w:rsidR="00AF0469">
        <w:rPr>
          <w:rStyle w:val="CommentReference"/>
          <w:rFonts w:ascii="Calibri" w:eastAsia="Calibri" w:hAnsi="Calibri"/>
        </w:rPr>
        <w:commentReference w:id="15"/>
      </w:r>
    </w:p>
    <w:p w:rsidR="006E5B39" w:rsidRDefault="006E5B39" w:rsidP="00834A9D">
      <w:pPr>
        <w:spacing w:line="360" w:lineRule="auto"/>
        <w:jc w:val="center"/>
      </w:pPr>
    </w:p>
    <w:p w:rsidR="00EB25C7" w:rsidRDefault="003F2D7C">
      <w:pPr>
        <w:spacing w:line="360" w:lineRule="auto"/>
        <w:jc w:val="center"/>
      </w:pPr>
      <w:r>
        <w:t xml:space="preserve">Fig. </w:t>
      </w:r>
      <w:r w:rsidR="00C50E45">
        <w:t>3</w:t>
      </w:r>
      <w:r>
        <w:t>.</w:t>
      </w:r>
      <w:r w:rsidR="005433F5">
        <w:t xml:space="preserve"> Total SOD1 (sum of activities</w:t>
      </w:r>
      <w:r>
        <w:t xml:space="preserve"> of SOD1 A and SOD1 B) </w:t>
      </w:r>
      <w:r w:rsidR="00B8688E">
        <w:t xml:space="preserve">relative </w:t>
      </w:r>
      <w:r>
        <w:t xml:space="preserve">activity in samples incubated for 1 and 3 h at 37°C. </w:t>
      </w:r>
      <w:r>
        <w:rPr>
          <w:rStyle w:val="hps"/>
        </w:rPr>
        <w:t>Quantification of SOD</w:t>
      </w:r>
      <w:r w:rsidR="0012696E">
        <w:rPr>
          <w:rStyle w:val="hps"/>
        </w:rPr>
        <w:t>1</w:t>
      </w:r>
      <w:r>
        <w:t xml:space="preserve"> relative</w:t>
      </w:r>
      <w:r>
        <w:rPr>
          <w:rStyle w:val="hps"/>
        </w:rPr>
        <w:t xml:space="preserve"> activity on the native gel </w:t>
      </w:r>
      <w:r>
        <w:rPr>
          <w:rStyle w:val="hps"/>
        </w:rPr>
        <w:lastRenderedPageBreak/>
        <w:t xml:space="preserve">was performed using </w:t>
      </w:r>
      <w:r>
        <w:t>Image Master Total Lab TL 120 software. Re</w:t>
      </w:r>
      <w:r w:rsidR="006F1591">
        <w:t>sults are presented as Mean ± SE</w:t>
      </w:r>
      <w:r w:rsidR="003D349E">
        <w:rPr>
          <w:lang w:val="sr-Cyrl-BA"/>
        </w:rPr>
        <w:t>.</w:t>
      </w:r>
      <w:r>
        <w:t xml:space="preserve"> ** p&lt;0.01; *** p&lt;0.005.</w:t>
      </w:r>
    </w:p>
    <w:p w:rsidR="00EB25C7" w:rsidRDefault="00EB25C7">
      <w:pPr>
        <w:spacing w:line="360" w:lineRule="auto"/>
        <w:jc w:val="center"/>
      </w:pPr>
    </w:p>
    <w:p w:rsidR="00EB25C7" w:rsidRPr="003D349E" w:rsidRDefault="00F9766E">
      <w:pPr>
        <w:spacing w:line="360" w:lineRule="auto"/>
        <w:ind w:firstLine="567"/>
        <w:rPr>
          <w:lang w:val="sr-Cyrl-BA"/>
        </w:rPr>
      </w:pPr>
      <w:r>
        <w:t>Erythrocytes are exposed to oxygen radicals that are continuously generated primarily due to auto-oxidation of oxy hemoglobin to methemoglobin.</w:t>
      </w:r>
      <w:r w:rsidR="003D349E">
        <w:rPr>
          <w:vertAlign w:val="superscript"/>
          <w:lang w:val="sr-Cyrl-BA"/>
        </w:rPr>
        <w:t xml:space="preserve">22 </w:t>
      </w:r>
      <w:r>
        <w:t xml:space="preserve">The earlier examination of antioxidative defense enzyme activities </w:t>
      </w:r>
      <w:r>
        <w:rPr>
          <w:i/>
          <w:iCs/>
        </w:rPr>
        <w:t>in vitro</w:t>
      </w:r>
      <w:r>
        <w:t xml:space="preserve"> has shown that SOD1 possesses a constant specific activity and may be inhibited irreversibly by the </w:t>
      </w:r>
      <w:r w:rsidRPr="009C789A">
        <w:t>cyano group (CN</w:t>
      </w:r>
      <w:r w:rsidRPr="009C789A">
        <w:rPr>
          <w:vertAlign w:val="superscript"/>
        </w:rPr>
        <w:t>-</w:t>
      </w:r>
      <w:r w:rsidRPr="009C789A">
        <w:t>), reversibly by H</w:t>
      </w:r>
      <w:r w:rsidRPr="009C789A">
        <w:rPr>
          <w:vertAlign w:val="subscript"/>
        </w:rPr>
        <w:t>2</w:t>
      </w:r>
      <w:r w:rsidRPr="009C789A">
        <w:t>O</w:t>
      </w:r>
      <w:r w:rsidRPr="009C789A">
        <w:rPr>
          <w:vertAlign w:val="subscript"/>
        </w:rPr>
        <w:t>2</w:t>
      </w:r>
      <w:r w:rsidRPr="009C789A">
        <w:t xml:space="preserve"> or by copper chelators such as DDC (diethyldithiocarbamate).</w:t>
      </w:r>
      <w:r>
        <w:t xml:space="preserve"> Later it has been shown that HS- enhances O</w:t>
      </w:r>
      <w:r>
        <w:rPr>
          <w:vertAlign w:val="subscript"/>
        </w:rPr>
        <w:t>2</w:t>
      </w:r>
      <w:r w:rsidRPr="00591294">
        <w:rPr>
          <w:b/>
          <w:vertAlign w:val="superscript"/>
        </w:rPr>
        <w:t>.</w:t>
      </w:r>
      <w:r>
        <w:rPr>
          <w:vertAlign w:val="superscript"/>
        </w:rPr>
        <w:t>-</w:t>
      </w:r>
      <w:r>
        <w:t xml:space="preserve"> scavenging activity of the bovine erythrocyte SOD1 by about twofold.</w:t>
      </w:r>
      <w:r w:rsidR="003D349E">
        <w:rPr>
          <w:vertAlign w:val="superscript"/>
          <w:lang w:val="sr-Cyrl-BA"/>
        </w:rPr>
        <w:t xml:space="preserve">23 </w:t>
      </w:r>
      <w:r w:rsidR="008C482E" w:rsidRPr="008C482E">
        <w:rPr>
          <w:color w:val="FF0000"/>
        </w:rPr>
        <w:t>Our results show that at certain concentrations, terbuthylazine as chloro-triazine increases the SOD1 activity in erythrocytes (Fig.</w:t>
      </w:r>
      <w:r w:rsidR="006108EF">
        <w:rPr>
          <w:color w:val="FF0000"/>
        </w:rPr>
        <w:t xml:space="preserve"> </w:t>
      </w:r>
      <w:r w:rsidR="00E867D3" w:rsidRPr="006108EF">
        <w:rPr>
          <w:color w:val="FF0000"/>
        </w:rPr>
        <w:t>3</w:t>
      </w:r>
      <w:r w:rsidR="008C482E" w:rsidRPr="008C482E">
        <w:rPr>
          <w:color w:val="FF0000"/>
        </w:rPr>
        <w:t>).</w:t>
      </w:r>
      <w:r w:rsidR="00E867D3">
        <w:rPr>
          <w:color w:val="FF0000"/>
        </w:rPr>
        <w:t xml:space="preserve"> </w:t>
      </w:r>
      <w:r>
        <w:t>In the work of Gultekin and coauthors it was</w:t>
      </w:r>
      <w:r w:rsidRPr="009C789A">
        <w:t xml:space="preserve"> shown that the decrease in SOD</w:t>
      </w:r>
      <w:r>
        <w:t>1</w:t>
      </w:r>
      <w:r w:rsidRPr="009C789A">
        <w:t xml:space="preserve"> and CAT activities is statistically significant with the increase in pesticide concentrations and is more pronounced for longer incubation </w:t>
      </w:r>
      <w:r>
        <w:t>periods.</w:t>
      </w:r>
      <w:r w:rsidR="003D349E">
        <w:rPr>
          <w:vertAlign w:val="superscript"/>
          <w:lang w:val="sr-Cyrl-BA"/>
        </w:rPr>
        <w:t>24</w:t>
      </w:r>
      <w:r>
        <w:t xml:space="preserve"> However, the authors have also shown that at lower pesticide concentrations SOD1 activity increased (by 2% after incubation of </w:t>
      </w:r>
      <w:r w:rsidR="00B8688E">
        <w:t>1 h</w:t>
      </w:r>
      <w:r>
        <w:t xml:space="preserve"> and 13% for a </w:t>
      </w:r>
      <w:r w:rsidR="00B8688E">
        <w:t>4 h</w:t>
      </w:r>
      <w:r>
        <w:t xml:space="preserve"> incubation period for the concentration of 0.01 g/L chlorpyrifos-ethyl). The treatment of Commercial SOD1 with a low concentration of </w:t>
      </w:r>
      <w:r w:rsidRPr="009C789A">
        <w:t>the same pesticides (0.01 g/L) induced an increase in SOD</w:t>
      </w:r>
      <w:r>
        <w:t>1</w:t>
      </w:r>
      <w:r w:rsidRPr="009C789A">
        <w:t xml:space="preserve"> activity by 1.34%. As sulfur</w:t>
      </w:r>
      <w:r>
        <w:t>-</w:t>
      </w:r>
      <w:r w:rsidRPr="009C789A">
        <w:t>containing compounds can activate SOD</w:t>
      </w:r>
      <w:r>
        <w:t>1</w:t>
      </w:r>
      <w:r w:rsidRPr="009C789A">
        <w:t xml:space="preserve"> at certain concentrations and </w:t>
      </w:r>
      <w:r>
        <w:t>inhibit SOD1 at higher concentrations as a result of SOD1 damage,</w:t>
      </w:r>
      <w:r w:rsidR="003D349E">
        <w:rPr>
          <w:vertAlign w:val="superscript"/>
          <w:lang w:val="sr-Cyrl-BA"/>
        </w:rPr>
        <w:t>25</w:t>
      </w:r>
      <w:r>
        <w:t xml:space="preserve"> according to our results it seems that it may also be true for certain chlorine-</w:t>
      </w:r>
      <w:r w:rsidRPr="009C789A">
        <w:t>containing compounds (</w:t>
      </w:r>
      <w:r w:rsidR="00642D00" w:rsidRPr="00B37567">
        <w:t>terbuthylazine</w:t>
      </w:r>
      <w:r w:rsidRPr="009C789A">
        <w:t>). In other papers it has also been shown that low concentrations of pyrethroid insecticide</w:t>
      </w:r>
      <w:r w:rsidR="003D349E">
        <w:rPr>
          <w:vertAlign w:val="superscript"/>
          <w:lang w:val="sr-Cyrl-BA"/>
        </w:rPr>
        <w:t xml:space="preserve">20 </w:t>
      </w:r>
      <w:r>
        <w:t>and herbicide</w:t>
      </w:r>
      <w:r w:rsidR="003D349E">
        <w:rPr>
          <w:vertAlign w:val="superscript"/>
          <w:lang w:val="sr-Cyrl-BA"/>
        </w:rPr>
        <w:t>10</w:t>
      </w:r>
      <w:r>
        <w:t xml:space="preserve"> lead to an increase in SOD1 activity in erythrocytes, whereas high concentrations decrease SOD1 activity when compared to control. </w:t>
      </w:r>
      <w:r w:rsidR="008C482E" w:rsidRPr="008C482E">
        <w:rPr>
          <w:color w:val="FF0000"/>
        </w:rPr>
        <w:t>Results of this paper</w:t>
      </w:r>
      <w:r w:rsidR="00E867D3">
        <w:rPr>
          <w:color w:val="FF0000"/>
        </w:rPr>
        <w:t xml:space="preserve"> </w:t>
      </w:r>
      <w:r>
        <w:t xml:space="preserve">related to the highest </w:t>
      </w:r>
      <w:r w:rsidR="00642D00" w:rsidRPr="00B37567">
        <w:t>terbuthylazine</w:t>
      </w:r>
      <w:r>
        <w:t xml:space="preserve"> concentration of </w:t>
      </w:r>
      <w:r w:rsidR="00BC1D8A">
        <w:t xml:space="preserve">37 </w:t>
      </w:r>
      <w:r w:rsidR="00BC1D8A">
        <w:sym w:font="Symbol" w:char="F06D"/>
      </w:r>
      <w:r w:rsidR="00BC1D8A">
        <w:t xml:space="preserve">mol/L </w:t>
      </w:r>
      <w:r>
        <w:t xml:space="preserve">show that </w:t>
      </w:r>
      <w:r w:rsidR="008C482E" w:rsidRPr="008C482E">
        <w:rPr>
          <w:color w:val="FF0000"/>
        </w:rPr>
        <w:t xml:space="preserve">3 h incubation </w:t>
      </w:r>
      <w:r>
        <w:t>leads to a decrease in SOD1 activity (36%) (p&lt;0.01)</w:t>
      </w:r>
      <w:r w:rsidR="001C4E72">
        <w:t>. S</w:t>
      </w:r>
      <w:r w:rsidR="001C4E72" w:rsidRPr="001C4E72">
        <w:t>tatistica</w:t>
      </w:r>
      <w:r w:rsidR="001C4E72">
        <w:t>lly significant decrease of SOD</w:t>
      </w:r>
      <w:r w:rsidR="001C4E72" w:rsidRPr="001C4E72">
        <w:t xml:space="preserve">1 activity was demonstrated in the treatment of </w:t>
      </w:r>
      <w:commentRangeStart w:id="16"/>
      <w:commentRangeStart w:id="17"/>
      <w:r w:rsidR="001C4E72" w:rsidRPr="00FF181A">
        <w:rPr>
          <w:highlight w:val="yellow"/>
        </w:rPr>
        <w:t>rat</w:t>
      </w:r>
      <w:commentRangeEnd w:id="16"/>
      <w:r w:rsidR="00AF0469" w:rsidRPr="00FF181A">
        <w:rPr>
          <w:rStyle w:val="CommentReference"/>
          <w:rFonts w:ascii="Calibri" w:eastAsia="Calibri" w:hAnsi="Calibri"/>
          <w:highlight w:val="yellow"/>
        </w:rPr>
        <w:commentReference w:id="16"/>
      </w:r>
      <w:r w:rsidR="001C4E72" w:rsidRPr="001C4E72">
        <w:t xml:space="preserve"> </w:t>
      </w:r>
      <w:commentRangeEnd w:id="17"/>
      <w:r w:rsidR="00FF181A">
        <w:rPr>
          <w:rStyle w:val="CommentReference"/>
          <w:rFonts w:ascii="Calibri" w:eastAsia="Calibri" w:hAnsi="Calibri"/>
        </w:rPr>
        <w:commentReference w:id="17"/>
      </w:r>
      <w:r w:rsidR="001C4E72" w:rsidRPr="001C4E72">
        <w:t xml:space="preserve">erythrocyte for 3 h with </w:t>
      </w:r>
      <w:r w:rsidR="001C4E72">
        <w:t>o</w:t>
      </w:r>
      <w:r w:rsidR="001C4E72" w:rsidRPr="001C4E72">
        <w:t xml:space="preserve">rganochlorine insecticide </w:t>
      </w:r>
      <w:r w:rsidR="001C4E72">
        <w:t>e</w:t>
      </w:r>
      <w:r w:rsidR="001C4E72" w:rsidRPr="001C4E72">
        <w:t>ndosulfan</w:t>
      </w:r>
      <w:r w:rsidR="001C4E72">
        <w:t xml:space="preserve"> and </w:t>
      </w:r>
      <w:r w:rsidR="001C4E72" w:rsidRPr="001C4E72">
        <w:t>organophosphorus</w:t>
      </w:r>
      <w:r w:rsidR="00E867D3">
        <w:t xml:space="preserve"> </w:t>
      </w:r>
      <w:r w:rsidR="001C4E72" w:rsidRPr="001C4E72">
        <w:t>insecticide</w:t>
      </w:r>
      <w:r w:rsidR="001C4E72">
        <w:t xml:space="preserve"> c</w:t>
      </w:r>
      <w:r w:rsidR="001C4E72" w:rsidRPr="001C4E72">
        <w:t>hlorpyrifos</w:t>
      </w:r>
      <w:r>
        <w:t>.</w:t>
      </w:r>
      <w:r w:rsidR="003D349E">
        <w:rPr>
          <w:vertAlign w:val="superscript"/>
          <w:lang w:val="sr-Cyrl-BA"/>
        </w:rPr>
        <w:t>4</w:t>
      </w:r>
      <w:r>
        <w:t xml:space="preserve"> Reduction of activity may be due to the o</w:t>
      </w:r>
      <w:r>
        <w:rPr>
          <w:shd w:val="clear" w:color="auto" w:fill="FFFFFF"/>
        </w:rPr>
        <w:t xml:space="preserve">xidative protein changes that can result in increased </w:t>
      </w:r>
      <w:r>
        <w:t>susceptibility to proteolysis and</w:t>
      </w:r>
      <w:r>
        <w:rPr>
          <w:shd w:val="clear" w:color="auto" w:fill="FFFFFF"/>
        </w:rPr>
        <w:t xml:space="preserve"> protein denaturation</w:t>
      </w:r>
      <w:r>
        <w:t>.</w:t>
      </w:r>
      <w:r w:rsidR="003D349E">
        <w:rPr>
          <w:vertAlign w:val="superscript"/>
          <w:lang w:val="sr-Cyrl-BA"/>
        </w:rPr>
        <w:t>26</w:t>
      </w:r>
    </w:p>
    <w:p w:rsidR="00EB25C7" w:rsidRDefault="00EB25C7">
      <w:pPr>
        <w:spacing w:line="360" w:lineRule="auto"/>
        <w:ind w:firstLine="567"/>
      </w:pPr>
    </w:p>
    <w:p w:rsidR="00EB25C7" w:rsidRDefault="00F9766E">
      <w:pPr>
        <w:spacing w:line="360" w:lineRule="auto"/>
        <w:rPr>
          <w:i/>
        </w:rPr>
      </w:pPr>
      <w:r w:rsidRPr="0077486F">
        <w:rPr>
          <w:i/>
        </w:rPr>
        <w:t>C</w:t>
      </w:r>
      <w:r>
        <w:rPr>
          <w:i/>
        </w:rPr>
        <w:t>atalase</w:t>
      </w:r>
      <w:r w:rsidR="00E867D3">
        <w:rPr>
          <w:i/>
        </w:rPr>
        <w:t xml:space="preserve"> </w:t>
      </w:r>
      <w:r w:rsidR="0077486F" w:rsidRPr="0077486F">
        <w:rPr>
          <w:i/>
        </w:rPr>
        <w:t>activity</w:t>
      </w:r>
    </w:p>
    <w:p w:rsidR="008C482E" w:rsidRDefault="005932D8" w:rsidP="008C482E">
      <w:pPr>
        <w:spacing w:line="360" w:lineRule="auto"/>
        <w:ind w:firstLine="709"/>
      </w:pPr>
      <w:r>
        <w:t xml:space="preserve">A large amount of CAT was present in the erythrocytes, and only the liver contained </w:t>
      </w:r>
      <w:r w:rsidR="009C0A3A">
        <w:t>more of this</w:t>
      </w:r>
      <w:r w:rsidRPr="004A7AEE">
        <w:t xml:space="preserve"> enzyme, which participate</w:t>
      </w:r>
      <w:r w:rsidR="009C0A3A">
        <w:t>s</w:t>
      </w:r>
      <w:r w:rsidRPr="004A7AEE">
        <w:t xml:space="preserve"> in the defense against free radicals together with </w:t>
      </w:r>
      <w:r w:rsidRPr="004A7AEE">
        <w:lastRenderedPageBreak/>
        <w:t xml:space="preserve">other enzymes </w:t>
      </w:r>
      <w:r>
        <w:t>for antioxidant protection in the cell. Catalase is effective at relatively high H</w:t>
      </w:r>
      <w:r>
        <w:rPr>
          <w:vertAlign w:val="subscript"/>
        </w:rPr>
        <w:t>2</w:t>
      </w:r>
      <w:r>
        <w:t>O</w:t>
      </w:r>
      <w:r>
        <w:rPr>
          <w:vertAlign w:val="subscript"/>
        </w:rPr>
        <w:t>2</w:t>
      </w:r>
      <w:r>
        <w:t xml:space="preserve"> content, while low concentrations are removed by glutathione peroxidase.</w:t>
      </w:r>
      <w:r w:rsidR="00E867D3">
        <w:t xml:space="preserve"> </w:t>
      </w:r>
      <w:r>
        <w:t xml:space="preserve">We detected one </w:t>
      </w:r>
      <w:r w:rsidR="00775F4E">
        <w:t xml:space="preserve">CAT isoform with </w:t>
      </w:r>
      <w:r w:rsidR="0082738D" w:rsidRPr="004E22BB">
        <w:rPr>
          <w:i/>
        </w:rPr>
        <w:t>R</w:t>
      </w:r>
      <w:r w:rsidR="008C482E" w:rsidRPr="004E22BB">
        <w:rPr>
          <w:vertAlign w:val="subscript"/>
        </w:rPr>
        <w:t>f</w:t>
      </w:r>
      <w:r w:rsidR="00775F4E" w:rsidRPr="004E22BB">
        <w:t xml:space="preserve"> values </w:t>
      </w:r>
      <w:r w:rsidR="0082738D" w:rsidRPr="004E22BB">
        <w:rPr>
          <w:i/>
        </w:rPr>
        <w:t>R</w:t>
      </w:r>
      <w:r w:rsidR="008C482E" w:rsidRPr="004E22BB">
        <w:rPr>
          <w:vertAlign w:val="subscript"/>
        </w:rPr>
        <w:t>fCAT</w:t>
      </w:r>
      <w:r w:rsidR="006108EF">
        <w:rPr>
          <w:color w:val="0070C0"/>
          <w:vertAlign w:val="subscript"/>
        </w:rPr>
        <w:t xml:space="preserve"> </w:t>
      </w:r>
      <w:r w:rsidR="00775F4E">
        <w:t>= 0.429 ± 0.106 in the control sample and the treated sample incubated for 1 and 3 h</w:t>
      </w:r>
      <w:r w:rsidR="004E22BB">
        <w:t xml:space="preserve"> </w:t>
      </w:r>
      <w:r w:rsidR="00775F4E">
        <w:t>at 37°C</w:t>
      </w:r>
      <w:r>
        <w:t xml:space="preserve"> (Fig. </w:t>
      </w:r>
      <w:r w:rsidR="00E867D3" w:rsidRPr="006108EF">
        <w:t>4</w:t>
      </w:r>
      <w:r>
        <w:t>)</w:t>
      </w:r>
      <w:r w:rsidR="00775F4E" w:rsidRPr="00090EB9">
        <w:t xml:space="preserve">. </w:t>
      </w:r>
    </w:p>
    <w:p w:rsidR="00834A9D" w:rsidRDefault="00834A9D" w:rsidP="00834A9D">
      <w:pPr>
        <w:spacing w:line="360" w:lineRule="auto"/>
        <w:ind w:firstLine="720"/>
      </w:pPr>
    </w:p>
    <w:p w:rsidR="0071494A" w:rsidRDefault="003D349E" w:rsidP="00834A9D">
      <w:pPr>
        <w:spacing w:line="360" w:lineRule="auto"/>
        <w:jc w:val="center"/>
      </w:pPr>
      <w:r>
        <w:rPr>
          <w:noProof/>
        </w:rPr>
        <w:drawing>
          <wp:inline distT="0" distB="0" distL="0" distR="0">
            <wp:extent cx="3749869" cy="2450972"/>
            <wp:effectExtent l="19050" t="0" r="2981" b="0"/>
            <wp:docPr id="2" name="Picture 1" descr="CAT GELOVI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 GELOVI 1.tif"/>
                    <pic:cNvPicPr/>
                  </pic:nvPicPr>
                  <pic:blipFill>
                    <a:blip r:embed="rId13" cstate="print"/>
                    <a:stretch>
                      <a:fillRect/>
                    </a:stretch>
                  </pic:blipFill>
                  <pic:spPr>
                    <a:xfrm>
                      <a:off x="0" y="0"/>
                      <a:ext cx="3751594" cy="2452100"/>
                    </a:xfrm>
                    <a:prstGeom prst="rect">
                      <a:avLst/>
                    </a:prstGeom>
                  </pic:spPr>
                </pic:pic>
              </a:graphicData>
            </a:graphic>
          </wp:inline>
        </w:drawing>
      </w:r>
    </w:p>
    <w:p w:rsidR="00EB25C7" w:rsidRDefault="00EB25C7">
      <w:pPr>
        <w:spacing w:line="360" w:lineRule="auto"/>
      </w:pPr>
    </w:p>
    <w:p w:rsidR="00EB25C7" w:rsidRDefault="00090EB9">
      <w:pPr>
        <w:spacing w:line="360" w:lineRule="auto"/>
        <w:jc w:val="center"/>
      </w:pPr>
      <w:r w:rsidRPr="004A7AEE">
        <w:t>Fig</w:t>
      </w:r>
      <w:r>
        <w:t xml:space="preserve">. </w:t>
      </w:r>
      <w:r w:rsidR="00E867D3" w:rsidRPr="006108EF">
        <w:t>4</w:t>
      </w:r>
      <w:r>
        <w:t>. The</w:t>
      </w:r>
      <w:r w:rsidR="006108EF">
        <w:t xml:space="preserve"> </w:t>
      </w:r>
      <w:r w:rsidR="00A1516A" w:rsidRPr="005932D8">
        <w:t>representative</w:t>
      </w:r>
      <w:r>
        <w:t xml:space="preserve"> native electrophoresis gel with one separated CAT (catalase) isoform in erythrocyte lysate: control (0) and groups treated with </w:t>
      </w:r>
      <w:r w:rsidR="00153CA9">
        <w:t xml:space="preserve">37 </w:t>
      </w:r>
      <w:r w:rsidR="00153CA9">
        <w:sym w:font="Symbol" w:char="F06D"/>
      </w:r>
      <w:r w:rsidR="00153CA9">
        <w:t>mol/L</w:t>
      </w:r>
      <w:r>
        <w:t xml:space="preserve">, </w:t>
      </w:r>
      <w:r w:rsidR="00153CA9">
        <w:t xml:space="preserve">3.7 </w:t>
      </w:r>
      <w:r w:rsidR="00153CA9">
        <w:sym w:font="Symbol" w:char="F06D"/>
      </w:r>
      <w:r w:rsidR="00153CA9">
        <w:t>mol/L</w:t>
      </w:r>
      <w:r w:rsidR="006108EF">
        <w:t xml:space="preserve"> </w:t>
      </w:r>
      <w:r>
        <w:t xml:space="preserve">and </w:t>
      </w:r>
      <w:r w:rsidR="00153CA9">
        <w:t>37 nmol/</w:t>
      </w:r>
      <w:r w:rsidR="00153CA9" w:rsidRPr="00B37567">
        <w:t xml:space="preserve">L </w:t>
      </w:r>
      <w:r w:rsidR="00642D00" w:rsidRPr="00B37567">
        <w:t>terbuthylazine</w:t>
      </w:r>
      <w:r>
        <w:t xml:space="preserve"> incubated for 1 h (A) and 3 h (B) at 37°C.</w:t>
      </w:r>
    </w:p>
    <w:p w:rsidR="00EB25C7" w:rsidRDefault="00EB25C7">
      <w:pPr>
        <w:spacing w:line="360" w:lineRule="auto"/>
        <w:jc w:val="center"/>
      </w:pPr>
    </w:p>
    <w:p w:rsidR="008C482E" w:rsidRPr="008C482E" w:rsidRDefault="008C482E" w:rsidP="003C25DF">
      <w:pPr>
        <w:spacing w:line="360" w:lineRule="auto"/>
        <w:ind w:firstLine="720"/>
        <w:rPr>
          <w:color w:val="FF0000"/>
        </w:rPr>
      </w:pPr>
      <w:r w:rsidRPr="008C482E">
        <w:rPr>
          <w:color w:val="FF0000"/>
        </w:rPr>
        <w:t>The statistically significant increase in CAT activity (24%) was observed in the samples treated for 1 h with</w:t>
      </w:r>
      <w:r w:rsidR="00360C78">
        <w:rPr>
          <w:color w:val="FF0000"/>
        </w:rPr>
        <w:t xml:space="preserve"> </w:t>
      </w:r>
      <w:r w:rsidRPr="008C482E">
        <w:rPr>
          <w:color w:val="FF0000"/>
        </w:rPr>
        <w:t xml:space="preserve">37 </w:t>
      </w:r>
      <w:r w:rsidRPr="008C482E">
        <w:rPr>
          <w:color w:val="FF0000"/>
        </w:rPr>
        <w:sym w:font="Symbol" w:char="F06D"/>
      </w:r>
      <w:r w:rsidRPr="008C482E">
        <w:rPr>
          <w:color w:val="FF0000"/>
        </w:rPr>
        <w:t>mol/L of terbuthylazine (289699</w:t>
      </w:r>
      <w:r w:rsidRPr="008C482E">
        <w:rPr>
          <w:color w:val="FF0000"/>
          <w:lang w:val="sr-Latn-BA"/>
        </w:rPr>
        <w:t>±</w:t>
      </w:r>
      <w:r w:rsidRPr="008C482E">
        <w:rPr>
          <w:color w:val="FF0000"/>
        </w:rPr>
        <w:t>7990</w:t>
      </w:r>
      <w:r w:rsidR="00360C78">
        <w:rPr>
          <w:color w:val="FF0000"/>
        </w:rPr>
        <w:t xml:space="preserve"> </w:t>
      </w:r>
      <w:r w:rsidRPr="008C482E">
        <w:rPr>
          <w:color w:val="FF0000"/>
          <w:lang w:val="sr-Latn-BA"/>
        </w:rPr>
        <w:t>U/</w:t>
      </w:r>
      <w:r w:rsidR="0082738D" w:rsidRPr="0082738D">
        <w:rPr>
          <w:color w:val="FF0000"/>
          <w:highlight w:val="yellow"/>
          <w:lang w:val="sr-Latn-BA"/>
        </w:rPr>
        <w:t>g</w:t>
      </w:r>
      <w:r w:rsidR="00360C78">
        <w:rPr>
          <w:color w:val="FF0000"/>
          <w:highlight w:val="yellow"/>
          <w:lang w:val="sr-Latn-BA"/>
        </w:rPr>
        <w:t xml:space="preserve"> </w:t>
      </w:r>
      <w:r w:rsidR="0082738D" w:rsidRPr="0082738D">
        <w:rPr>
          <w:color w:val="FF0000"/>
          <w:highlight w:val="yellow"/>
          <w:lang w:val="sr-Latn-BA"/>
        </w:rPr>
        <w:t>Hb</w:t>
      </w:r>
      <w:r w:rsidRPr="008C482E">
        <w:rPr>
          <w:color w:val="FF0000"/>
        </w:rPr>
        <w:t>)</w:t>
      </w:r>
      <w:r w:rsidR="00360C78">
        <w:rPr>
          <w:color w:val="FF0000"/>
        </w:rPr>
        <w:t xml:space="preserve"> </w:t>
      </w:r>
      <w:r w:rsidRPr="008C482E">
        <w:rPr>
          <w:color w:val="FF0000"/>
        </w:rPr>
        <w:t xml:space="preserve">(p&lt;0.01) (Fig. </w:t>
      </w:r>
      <w:r w:rsidR="00360C78">
        <w:rPr>
          <w:color w:val="FF0000"/>
        </w:rPr>
        <w:t>5</w:t>
      </w:r>
      <w:r w:rsidRPr="008C482E">
        <w:rPr>
          <w:color w:val="FF0000"/>
        </w:rPr>
        <w:t>). In other treatments compared to control (233419</w:t>
      </w:r>
      <w:r w:rsidRPr="008C482E">
        <w:rPr>
          <w:color w:val="FF0000"/>
          <w:lang w:val="sr-Latn-BA"/>
        </w:rPr>
        <w:t>±</w:t>
      </w:r>
      <w:r w:rsidRPr="008C482E">
        <w:rPr>
          <w:color w:val="FF0000"/>
        </w:rPr>
        <w:t>3719</w:t>
      </w:r>
      <w:r w:rsidRPr="008C482E">
        <w:rPr>
          <w:color w:val="FF0000"/>
          <w:lang w:val="sr-Latn-BA"/>
        </w:rPr>
        <w:t xml:space="preserve"> U/</w:t>
      </w:r>
      <w:r w:rsidR="0082738D" w:rsidRPr="0082738D">
        <w:rPr>
          <w:color w:val="FF0000"/>
          <w:highlight w:val="yellow"/>
          <w:lang w:val="sr-Latn-BA"/>
        </w:rPr>
        <w:t>g</w:t>
      </w:r>
      <w:r w:rsidR="00360C78">
        <w:rPr>
          <w:color w:val="FF0000"/>
          <w:highlight w:val="yellow"/>
          <w:lang w:val="sr-Latn-BA"/>
        </w:rPr>
        <w:t xml:space="preserve"> </w:t>
      </w:r>
      <w:r w:rsidR="0082738D" w:rsidRPr="0082738D">
        <w:rPr>
          <w:color w:val="FF0000"/>
          <w:highlight w:val="yellow"/>
          <w:lang w:val="sr-Latn-BA"/>
        </w:rPr>
        <w:t>Hb</w:t>
      </w:r>
      <w:r w:rsidR="003D349E">
        <w:rPr>
          <w:color w:val="FF0000"/>
          <w:lang w:val="sr-Cyrl-BA"/>
        </w:rPr>
        <w:t>)</w:t>
      </w:r>
      <w:r w:rsidRPr="008C482E">
        <w:rPr>
          <w:color w:val="FF0000"/>
          <w:lang w:val="sr-Latn-BA"/>
        </w:rPr>
        <w:t xml:space="preserve"> for 1 h and </w:t>
      </w:r>
      <w:r w:rsidR="003D349E" w:rsidRPr="008C482E">
        <w:rPr>
          <w:color w:val="FF0000"/>
          <w:lang w:val="sr-Latn-BA"/>
        </w:rPr>
        <w:t>3</w:t>
      </w:r>
      <w:r w:rsidR="006108EF">
        <w:rPr>
          <w:color w:val="FF0000"/>
          <w:lang w:val="sr-Latn-BA"/>
        </w:rPr>
        <w:t xml:space="preserve"> </w:t>
      </w:r>
      <w:r w:rsidR="003D349E" w:rsidRPr="008C482E">
        <w:rPr>
          <w:color w:val="FF0000"/>
          <w:lang w:val="sr-Latn-BA"/>
        </w:rPr>
        <w:t xml:space="preserve">h </w:t>
      </w:r>
      <w:r w:rsidR="003D349E">
        <w:rPr>
          <w:color w:val="FF0000"/>
          <w:lang w:val="sr-Cyrl-BA"/>
        </w:rPr>
        <w:t>(</w:t>
      </w:r>
      <w:r w:rsidRPr="008C482E">
        <w:rPr>
          <w:color w:val="FF0000"/>
          <w:lang w:val="sr-Latn-BA"/>
        </w:rPr>
        <w:t>229566±4950 U/</w:t>
      </w:r>
      <w:r w:rsidR="0082738D" w:rsidRPr="0082738D">
        <w:rPr>
          <w:color w:val="FF0000"/>
          <w:highlight w:val="yellow"/>
          <w:lang w:val="sr-Latn-BA"/>
        </w:rPr>
        <w:t>g</w:t>
      </w:r>
      <w:r w:rsidR="00360C78">
        <w:rPr>
          <w:color w:val="FF0000"/>
          <w:highlight w:val="yellow"/>
          <w:lang w:val="sr-Latn-BA"/>
        </w:rPr>
        <w:t xml:space="preserve"> </w:t>
      </w:r>
      <w:r w:rsidR="0082738D" w:rsidRPr="0082738D">
        <w:rPr>
          <w:color w:val="FF0000"/>
          <w:highlight w:val="yellow"/>
          <w:lang w:val="sr-Latn-BA"/>
        </w:rPr>
        <w:t>Hb</w:t>
      </w:r>
      <w:r w:rsidRPr="008C482E">
        <w:rPr>
          <w:color w:val="FF0000"/>
          <w:lang w:val="sr-Latn-BA"/>
        </w:rPr>
        <w:t>)</w:t>
      </w:r>
      <w:r w:rsidRPr="008C482E">
        <w:rPr>
          <w:color w:val="FF0000"/>
        </w:rPr>
        <w:t>, CAT activity did not change significantly for either of incubation periods. Between treatments, statistical significance (p&lt;0.005) was detected among 37</w:t>
      </w:r>
      <w:r w:rsidR="00AF0469">
        <w:rPr>
          <w:color w:val="FF0000"/>
        </w:rPr>
        <w:t> </w:t>
      </w:r>
      <w:r w:rsidRPr="008C482E">
        <w:rPr>
          <w:color w:val="FF0000"/>
        </w:rPr>
        <w:t>nmol/L</w:t>
      </w:r>
      <w:r w:rsidR="00360C78">
        <w:rPr>
          <w:color w:val="FF0000"/>
        </w:rPr>
        <w:t xml:space="preserve"> </w:t>
      </w:r>
      <w:r w:rsidRPr="008C482E">
        <w:rPr>
          <w:color w:val="FF0000"/>
        </w:rPr>
        <w:t>(223793</w:t>
      </w:r>
      <w:r w:rsidRPr="008C482E">
        <w:rPr>
          <w:color w:val="FF0000"/>
          <w:lang w:val="sr-Latn-BA"/>
        </w:rPr>
        <w:t>±</w:t>
      </w:r>
      <w:r w:rsidRPr="008C482E">
        <w:rPr>
          <w:color w:val="FF0000"/>
        </w:rPr>
        <w:t>13887</w:t>
      </w:r>
      <w:r w:rsidR="00360C78">
        <w:rPr>
          <w:color w:val="FF0000"/>
        </w:rPr>
        <w:t xml:space="preserve"> </w:t>
      </w:r>
      <w:r w:rsidR="00A375EB" w:rsidRPr="008C482E">
        <w:rPr>
          <w:color w:val="FF0000"/>
          <w:lang w:val="sr-Latn-BA"/>
        </w:rPr>
        <w:t>U/</w:t>
      </w:r>
      <w:r w:rsidR="0082738D" w:rsidRPr="0082738D">
        <w:rPr>
          <w:color w:val="FF0000"/>
          <w:highlight w:val="yellow"/>
          <w:lang w:val="sr-Latn-BA"/>
        </w:rPr>
        <w:t>g</w:t>
      </w:r>
      <w:r w:rsidR="00360C78">
        <w:rPr>
          <w:color w:val="FF0000"/>
          <w:highlight w:val="yellow"/>
          <w:lang w:val="sr-Latn-BA"/>
        </w:rPr>
        <w:t xml:space="preserve"> </w:t>
      </w:r>
      <w:r w:rsidR="0082738D" w:rsidRPr="0082738D">
        <w:rPr>
          <w:color w:val="FF0000"/>
          <w:highlight w:val="yellow"/>
          <w:lang w:val="sr-Latn-BA"/>
        </w:rPr>
        <w:t>Hb</w:t>
      </w:r>
      <w:r w:rsidRPr="008C482E">
        <w:rPr>
          <w:color w:val="FF0000"/>
        </w:rPr>
        <w:t xml:space="preserve">) and 3.7 </w:t>
      </w:r>
      <w:r w:rsidRPr="008C482E">
        <w:rPr>
          <w:color w:val="FF0000"/>
        </w:rPr>
        <w:sym w:font="Symbol" w:char="F06D"/>
      </w:r>
      <w:r w:rsidRPr="008C482E">
        <w:rPr>
          <w:color w:val="FF0000"/>
        </w:rPr>
        <w:t>mol/L</w:t>
      </w:r>
      <w:r w:rsidR="00360C78">
        <w:rPr>
          <w:color w:val="FF0000"/>
        </w:rPr>
        <w:t xml:space="preserve"> </w:t>
      </w:r>
      <w:r w:rsidRPr="008C482E">
        <w:rPr>
          <w:color w:val="FF0000"/>
        </w:rPr>
        <w:t>concentration of terbuthylazine</w:t>
      </w:r>
      <w:r w:rsidR="00360C78">
        <w:rPr>
          <w:color w:val="FF0000"/>
        </w:rPr>
        <w:t xml:space="preserve"> </w:t>
      </w:r>
      <w:r w:rsidRPr="008C482E">
        <w:rPr>
          <w:color w:val="FF0000"/>
        </w:rPr>
        <w:t xml:space="preserve">after 1 h incubation (Fig. </w:t>
      </w:r>
      <w:r w:rsidR="00360C78" w:rsidRPr="006108EF">
        <w:rPr>
          <w:color w:val="FF0000"/>
        </w:rPr>
        <w:t>5</w:t>
      </w:r>
      <w:r w:rsidRPr="008C482E">
        <w:rPr>
          <w:color w:val="FF0000"/>
        </w:rPr>
        <w:t>).</w:t>
      </w:r>
    </w:p>
    <w:p w:rsidR="00FF37C7" w:rsidRDefault="00FF181A" w:rsidP="00834A9D">
      <w:pPr>
        <w:spacing w:line="360" w:lineRule="auto"/>
        <w:jc w:val="center"/>
      </w:pPr>
      <w:r>
        <w:rPr>
          <w:noProof/>
        </w:rPr>
        <w:lastRenderedPageBreak/>
        <w:drawing>
          <wp:inline distT="0" distB="0" distL="0" distR="0">
            <wp:extent cx="2688357" cy="2296973"/>
            <wp:effectExtent l="19050" t="0" r="0" b="0"/>
            <wp:docPr id="9" name="Picture 8" descr="Fig. 5 correct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 corrected.tif"/>
                    <pic:cNvPicPr/>
                  </pic:nvPicPr>
                  <pic:blipFill>
                    <a:blip r:embed="rId14" cstate="print"/>
                    <a:stretch>
                      <a:fillRect/>
                    </a:stretch>
                  </pic:blipFill>
                  <pic:spPr>
                    <a:xfrm>
                      <a:off x="0" y="0"/>
                      <a:ext cx="2684335" cy="2293537"/>
                    </a:xfrm>
                    <a:prstGeom prst="rect">
                      <a:avLst/>
                    </a:prstGeom>
                  </pic:spPr>
                </pic:pic>
              </a:graphicData>
            </a:graphic>
          </wp:inline>
        </w:drawing>
      </w:r>
      <w:r w:rsidR="00AF0469">
        <w:rPr>
          <w:rStyle w:val="CommentReference"/>
          <w:rFonts w:ascii="Calibri" w:eastAsia="Calibri" w:hAnsi="Calibri"/>
        </w:rPr>
        <w:commentReference w:id="18"/>
      </w:r>
    </w:p>
    <w:p w:rsidR="00EB25C7" w:rsidRDefault="00EB25C7">
      <w:pPr>
        <w:spacing w:line="360" w:lineRule="auto"/>
        <w:jc w:val="center"/>
      </w:pPr>
    </w:p>
    <w:p w:rsidR="00EB25C7" w:rsidRDefault="00FF37C7">
      <w:pPr>
        <w:spacing w:line="360" w:lineRule="auto"/>
        <w:jc w:val="center"/>
      </w:pPr>
      <w:r>
        <w:t>Fig</w:t>
      </w:r>
      <w:r w:rsidRPr="006108EF">
        <w:t xml:space="preserve">. </w:t>
      </w:r>
      <w:r w:rsidR="00360C78" w:rsidRPr="006108EF">
        <w:t>5</w:t>
      </w:r>
      <w:r w:rsidRPr="006108EF">
        <w:t>.</w:t>
      </w:r>
      <w:r w:rsidR="00854F7E">
        <w:t xml:space="preserve"> Relative CAT activity in samples control (0) and groups treated with </w:t>
      </w:r>
      <w:r w:rsidR="00BC1D8A">
        <w:t xml:space="preserve">37 </w:t>
      </w:r>
      <w:r w:rsidR="00BC1D8A">
        <w:sym w:font="Symbol" w:char="F06D"/>
      </w:r>
      <w:r w:rsidR="00BC1D8A">
        <w:t>mol/L</w:t>
      </w:r>
      <w:r w:rsidR="00854F7E">
        <w:t xml:space="preserve">, </w:t>
      </w:r>
      <w:r w:rsidR="00BC1D8A">
        <w:t xml:space="preserve">3.7 </w:t>
      </w:r>
      <w:r w:rsidR="00BC1D8A">
        <w:sym w:font="Symbol" w:char="F06D"/>
      </w:r>
      <w:r w:rsidR="00BC1D8A">
        <w:t>mol/L</w:t>
      </w:r>
      <w:r w:rsidR="00360C78">
        <w:t xml:space="preserve"> </w:t>
      </w:r>
      <w:r w:rsidR="00854F7E">
        <w:t xml:space="preserve">and </w:t>
      </w:r>
      <w:r w:rsidR="001F5FCD">
        <w:t>37 nmol/</w:t>
      </w:r>
      <w:r w:rsidR="001F5FCD" w:rsidRPr="007E1C50">
        <w:t xml:space="preserve">L </w:t>
      </w:r>
      <w:r w:rsidR="00642D00" w:rsidRPr="007E1C50">
        <w:t>terbuthylazine</w:t>
      </w:r>
      <w:r w:rsidR="00854F7E">
        <w:t xml:space="preserve"> incubated for 1 and 3 h. </w:t>
      </w:r>
      <w:r w:rsidR="00854F7E">
        <w:rPr>
          <w:rStyle w:val="hps"/>
        </w:rPr>
        <w:t>Quantification of CAT</w:t>
      </w:r>
      <w:r w:rsidR="00854F7E">
        <w:t xml:space="preserve"> relative</w:t>
      </w:r>
      <w:r w:rsidR="00854F7E">
        <w:rPr>
          <w:rStyle w:val="hps"/>
        </w:rPr>
        <w:t xml:space="preserve"> activity on the native gel was performed using </w:t>
      </w:r>
      <w:r w:rsidR="00854F7E">
        <w:t xml:space="preserve">Image Master Total Lab TL 120 </w:t>
      </w:r>
      <w:r w:rsidR="00854F7E" w:rsidRPr="007B2298">
        <w:t>software. Results are presented as Mean ± S</w:t>
      </w:r>
      <w:r w:rsidR="006F1591">
        <w:t>E</w:t>
      </w:r>
      <w:r w:rsidR="003D349E">
        <w:rPr>
          <w:lang w:val="sr-Cyrl-BA"/>
        </w:rPr>
        <w:t xml:space="preserve">. </w:t>
      </w:r>
      <w:r>
        <w:t xml:space="preserve">** p&lt;0.01; </w:t>
      </w:r>
      <w:r w:rsidR="00854F7E" w:rsidRPr="007B2298">
        <w:t>*** p&lt;0.005.</w:t>
      </w:r>
    </w:p>
    <w:p w:rsidR="008C482E" w:rsidRDefault="008C482E" w:rsidP="008C482E">
      <w:pPr>
        <w:spacing w:line="360" w:lineRule="auto"/>
        <w:rPr>
          <w:color w:val="222222"/>
        </w:rPr>
      </w:pPr>
    </w:p>
    <w:p w:rsidR="008C482E" w:rsidRDefault="008C482E" w:rsidP="003C25DF">
      <w:pPr>
        <w:spacing w:line="360" w:lineRule="auto"/>
        <w:ind w:firstLine="720"/>
      </w:pPr>
      <w:r w:rsidRPr="008C482E">
        <w:rPr>
          <w:color w:val="FF0000"/>
        </w:rPr>
        <w:t xml:space="preserve">Santi </w:t>
      </w:r>
      <w:r w:rsidRPr="004E22BB">
        <w:rPr>
          <w:i/>
          <w:color w:val="FF0000"/>
        </w:rPr>
        <w:t>et al</w:t>
      </w:r>
      <w:r w:rsidRPr="008C482E">
        <w:rPr>
          <w:color w:val="FF0000"/>
        </w:rPr>
        <w:t xml:space="preserve">. in the treatment of human erythrocyte 1 h with </w:t>
      </w:r>
      <w:r w:rsidRPr="008C482E">
        <w:rPr>
          <w:color w:val="FF0000"/>
          <w:shd w:val="clear" w:color="auto" w:fill="FFFFFF"/>
        </w:rPr>
        <w:t>isoxazolidinone</w:t>
      </w:r>
      <w:r w:rsidRPr="008C482E">
        <w:rPr>
          <w:color w:val="FF0000"/>
        </w:rPr>
        <w:t xml:space="preserve"> herbicide clomazone shown that all concentrations of herbicide led to a decrease in CAT activity.</w:t>
      </w:r>
      <w:r w:rsidR="003D349E">
        <w:rPr>
          <w:color w:val="FF0000"/>
          <w:vertAlign w:val="superscript"/>
          <w:lang w:val="sr-Cyrl-BA"/>
        </w:rPr>
        <w:t>10</w:t>
      </w:r>
      <w:r w:rsidRPr="008C482E">
        <w:rPr>
          <w:color w:val="FF0000"/>
        </w:rPr>
        <w:t xml:space="preserve"> Increase of CAT activity has been demonstrated in human erythrocyte treated 1 h with organophosphorus insecticide trichlorfon,</w:t>
      </w:r>
      <w:r w:rsidR="003D349E">
        <w:rPr>
          <w:color w:val="FF0000"/>
          <w:vertAlign w:val="superscript"/>
          <w:lang w:val="sr-Cyrl-BA"/>
        </w:rPr>
        <w:t>27</w:t>
      </w:r>
      <w:r w:rsidRPr="008C482E">
        <w:rPr>
          <w:color w:val="FF0000"/>
        </w:rPr>
        <w:t xml:space="preserve"> while CAT activity remained unchanged for all concentrations of organophosphate insecticide diazinon treated 1 and 3 h</w:t>
      </w:r>
      <w:r w:rsidR="002736C4" w:rsidRPr="00F17CC0">
        <w:rPr>
          <w:color w:val="222222"/>
        </w:rPr>
        <w:t>.</w:t>
      </w:r>
      <w:r w:rsidR="00B05C75" w:rsidRPr="00B9600C">
        <w:rPr>
          <w:color w:val="FF0000"/>
          <w:vertAlign w:val="superscript"/>
          <w:lang w:val="sr-Cyrl-BA"/>
        </w:rPr>
        <w:t>21</w:t>
      </w:r>
      <w:r w:rsidR="00360C78">
        <w:rPr>
          <w:color w:val="FF0000"/>
          <w:vertAlign w:val="superscript"/>
        </w:rPr>
        <w:t xml:space="preserve"> </w:t>
      </w:r>
      <w:r w:rsidRPr="008C482E">
        <w:rPr>
          <w:color w:val="FF0000"/>
        </w:rPr>
        <w:t>Obtained</w:t>
      </w:r>
      <w:r w:rsidR="00360C78">
        <w:rPr>
          <w:color w:val="FF0000"/>
        </w:rPr>
        <w:t xml:space="preserve"> </w:t>
      </w:r>
      <w:r w:rsidR="00E54DA0">
        <w:t xml:space="preserve">results show that CAT activity is the highest in conditions of exposure to the highest concentration of </w:t>
      </w:r>
      <w:r w:rsidRPr="008C482E">
        <w:rPr>
          <w:color w:val="FF0000"/>
        </w:rPr>
        <w:t>terbuthylazine</w:t>
      </w:r>
      <w:r w:rsidR="006515EE">
        <w:t xml:space="preserve"> (Fig. </w:t>
      </w:r>
      <w:r w:rsidR="00360C78" w:rsidRPr="006108EF">
        <w:t>5</w:t>
      </w:r>
      <w:r w:rsidR="006515EE" w:rsidRPr="006108EF">
        <w:t>)</w:t>
      </w:r>
      <w:r w:rsidR="00E54DA0">
        <w:t xml:space="preserve"> for which we can assume that are the most prooxidative</w:t>
      </w:r>
      <w:r w:rsidR="00360C78">
        <w:t xml:space="preserve"> </w:t>
      </w:r>
      <w:r w:rsidRPr="008C482E">
        <w:rPr>
          <w:color w:val="FF0000"/>
        </w:rPr>
        <w:t>as other authors have shown</w:t>
      </w:r>
      <w:r w:rsidR="00E54DA0">
        <w:t>.</w:t>
      </w:r>
      <w:r w:rsidR="00B05C75">
        <w:rPr>
          <w:vertAlign w:val="superscript"/>
          <w:lang w:val="sr-Cyrl-BA"/>
        </w:rPr>
        <w:t>28</w:t>
      </w:r>
      <w:r w:rsidR="00E54DA0">
        <w:t xml:space="preserve"> Increased H</w:t>
      </w:r>
      <w:r w:rsidR="00E54DA0">
        <w:rPr>
          <w:vertAlign w:val="subscript"/>
        </w:rPr>
        <w:t>2</w:t>
      </w:r>
      <w:r w:rsidR="00E54DA0">
        <w:t>O</w:t>
      </w:r>
      <w:r w:rsidR="00E54DA0">
        <w:rPr>
          <w:vertAlign w:val="subscript"/>
        </w:rPr>
        <w:t>2</w:t>
      </w:r>
      <w:r w:rsidR="00E54DA0">
        <w:t xml:space="preserve"> concentration,</w:t>
      </w:r>
      <w:r w:rsidR="00E54DA0" w:rsidRPr="004A7AEE">
        <w:t xml:space="preserve"> resulting from the inhibition of CAT activity</w:t>
      </w:r>
      <w:r w:rsidR="00B05C75">
        <w:rPr>
          <w:vertAlign w:val="superscript"/>
          <w:lang w:val="sr-Cyrl-BA"/>
        </w:rPr>
        <w:t xml:space="preserve">29 </w:t>
      </w:r>
      <w:r w:rsidR="00E54DA0" w:rsidRPr="004A7AEE">
        <w:t>with superoxide anion</w:t>
      </w:r>
      <w:r w:rsidR="00E54DA0">
        <w:t>,</w:t>
      </w:r>
      <w:r w:rsidR="00E54DA0" w:rsidRPr="004A7AEE">
        <w:t xml:space="preserve"> can inhibit SOD</w:t>
      </w:r>
      <w:r w:rsidR="00E54DA0">
        <w:t>1</w:t>
      </w:r>
      <w:r w:rsidR="00E54DA0" w:rsidRPr="004A7AEE">
        <w:t xml:space="preserve"> activity.</w:t>
      </w:r>
      <w:r w:rsidR="00B05C75">
        <w:rPr>
          <w:vertAlign w:val="superscript"/>
          <w:lang w:val="sr-Cyrl-BA"/>
        </w:rPr>
        <w:t xml:space="preserve">30 </w:t>
      </w:r>
      <w:r w:rsidR="00E54DA0">
        <w:t xml:space="preserve">It has been shown that the anti-oxidant system, at the level of coordinated expression, functions in the domain of positive correlation between SOD1 and CAT. </w:t>
      </w:r>
    </w:p>
    <w:p w:rsidR="007B2298" w:rsidRDefault="007B2298" w:rsidP="00834A9D">
      <w:pPr>
        <w:spacing w:line="360" w:lineRule="auto"/>
        <w:ind w:firstLine="709"/>
      </w:pPr>
    </w:p>
    <w:p w:rsidR="00EB25C7" w:rsidRDefault="007B2298">
      <w:pPr>
        <w:spacing w:line="360" w:lineRule="auto"/>
        <w:rPr>
          <w:i/>
        </w:rPr>
      </w:pPr>
      <w:r>
        <w:rPr>
          <w:i/>
        </w:rPr>
        <w:t>GST</w:t>
      </w:r>
      <w:r w:rsidR="00360C78">
        <w:rPr>
          <w:i/>
        </w:rPr>
        <w:t xml:space="preserve"> </w:t>
      </w:r>
      <w:r w:rsidR="00A1516A" w:rsidRPr="00A1516A">
        <w:rPr>
          <w:i/>
        </w:rPr>
        <w:t>activity</w:t>
      </w:r>
    </w:p>
    <w:p w:rsidR="008C482E" w:rsidRDefault="00866FC4" w:rsidP="008C482E">
      <w:pPr>
        <w:tabs>
          <w:tab w:val="left" w:pos="6946"/>
        </w:tabs>
        <w:spacing w:line="360" w:lineRule="auto"/>
        <w:ind w:firstLine="709"/>
      </w:pPr>
      <w:r>
        <w:t>In contrast to the SOD1 and CAT, glutathione-dependent enzymes in the anti-oxidant system are separately regulated, probably via the concentration of (reduced) glutathione and the redox status of the cell. GST is an antioxidant enzyme, and, in addition, it belongs to the enzymes of Phase II biotransformation. GST possesses the ability to catalyze the conjugation of a reduced form of glutathione with xenobiotics for the purpose of detoxification</w:t>
      </w:r>
      <w:r w:rsidR="00621ED0">
        <w:t>.</w:t>
      </w:r>
    </w:p>
    <w:p w:rsidR="008C482E" w:rsidRDefault="006515EE" w:rsidP="008C482E">
      <w:pPr>
        <w:spacing w:line="360" w:lineRule="auto"/>
        <w:ind w:firstLine="709"/>
        <w:rPr>
          <w:strike/>
        </w:rPr>
      </w:pPr>
      <w:r w:rsidRPr="00F17CC0">
        <w:lastRenderedPageBreak/>
        <w:t xml:space="preserve">A </w:t>
      </w:r>
      <w:r w:rsidR="00775F4E" w:rsidRPr="00F17CC0">
        <w:t xml:space="preserve">statistically significant reduction in GST activity for the lowest concentration of </w:t>
      </w:r>
      <w:r w:rsidR="00642D00" w:rsidRPr="00F17CC0">
        <w:t>terbuthylazine</w:t>
      </w:r>
      <w:r w:rsidR="00775F4E" w:rsidRPr="00F17CC0">
        <w:t xml:space="preserve"> after incubation</w:t>
      </w:r>
      <w:r w:rsidR="00F17CC0">
        <w:t xml:space="preserve"> with </w:t>
      </w:r>
      <w:r w:rsidR="00F17CC0" w:rsidRPr="00F17CC0">
        <w:t>37 nmol/L</w:t>
      </w:r>
      <w:r w:rsidR="00775F4E" w:rsidRPr="00F17CC0">
        <w:t xml:space="preserve"> for 1</w:t>
      </w:r>
      <w:r w:rsidR="0016667C" w:rsidRPr="00F17CC0">
        <w:t>h</w:t>
      </w:r>
      <w:r w:rsidR="001F490F">
        <w:t xml:space="preserve"> </w:t>
      </w:r>
      <w:r w:rsidR="008C482E" w:rsidRPr="008C482E">
        <w:rPr>
          <w:color w:val="FF0000"/>
        </w:rPr>
        <w:t>(5.604</w:t>
      </w:r>
      <w:r w:rsidR="008C482E" w:rsidRPr="008C482E">
        <w:rPr>
          <w:color w:val="FF0000"/>
          <w:lang w:val="sr-Latn-BA"/>
        </w:rPr>
        <w:t xml:space="preserve">±0.646 </w:t>
      </w:r>
      <w:r w:rsidR="0082738D" w:rsidRPr="0082738D">
        <w:rPr>
          <w:color w:val="FF0000"/>
          <w:highlight w:val="yellow"/>
          <w:lang w:val="sr-Latn-BA"/>
        </w:rPr>
        <w:t>U/g</w:t>
      </w:r>
      <w:r w:rsidR="001F490F">
        <w:rPr>
          <w:color w:val="FF0000"/>
          <w:highlight w:val="yellow"/>
          <w:lang w:val="sr-Latn-BA"/>
        </w:rPr>
        <w:t xml:space="preserve"> </w:t>
      </w:r>
      <w:r w:rsidR="0082738D" w:rsidRPr="0082738D">
        <w:rPr>
          <w:color w:val="FF0000"/>
          <w:highlight w:val="yellow"/>
          <w:lang w:val="sr-Latn-BA"/>
        </w:rPr>
        <w:t>Hb</w:t>
      </w:r>
      <w:r w:rsidR="008C482E" w:rsidRPr="008C482E">
        <w:rPr>
          <w:color w:val="FF0000"/>
        </w:rPr>
        <w:t>)</w:t>
      </w:r>
      <w:r w:rsidR="001F490F">
        <w:rPr>
          <w:color w:val="FF0000"/>
        </w:rPr>
        <w:t xml:space="preserve"> </w:t>
      </w:r>
      <w:r w:rsidR="00775F4E" w:rsidRPr="00F17CC0">
        <w:t>and 3 h</w:t>
      </w:r>
      <w:r w:rsidR="001F490F">
        <w:t xml:space="preserve"> </w:t>
      </w:r>
      <w:r w:rsidR="008C482E" w:rsidRPr="008C482E">
        <w:rPr>
          <w:color w:val="FF0000"/>
          <w:lang w:val="sr-Latn-BA"/>
        </w:rPr>
        <w:t xml:space="preserve">(5.024±0.815 </w:t>
      </w:r>
      <w:r w:rsidR="0082738D" w:rsidRPr="0082738D">
        <w:rPr>
          <w:color w:val="FF0000"/>
          <w:highlight w:val="yellow"/>
          <w:lang w:val="sr-Latn-BA"/>
        </w:rPr>
        <w:t>U/g</w:t>
      </w:r>
      <w:r w:rsidR="001F490F">
        <w:rPr>
          <w:color w:val="FF0000"/>
          <w:highlight w:val="yellow"/>
          <w:lang w:val="sr-Latn-BA"/>
        </w:rPr>
        <w:t xml:space="preserve"> </w:t>
      </w:r>
      <w:r w:rsidR="0082738D" w:rsidRPr="0082738D">
        <w:rPr>
          <w:color w:val="FF0000"/>
          <w:highlight w:val="yellow"/>
          <w:lang w:val="sr-Latn-BA"/>
        </w:rPr>
        <w:t>Hb</w:t>
      </w:r>
      <w:r w:rsidR="008C482E" w:rsidRPr="008C482E">
        <w:rPr>
          <w:color w:val="FF0000"/>
          <w:lang w:val="sr-Latn-BA"/>
        </w:rPr>
        <w:t>)</w:t>
      </w:r>
      <w:r w:rsidR="001F490F">
        <w:rPr>
          <w:color w:val="FF0000"/>
          <w:lang w:val="sr-Latn-BA"/>
        </w:rPr>
        <w:t xml:space="preserve"> </w:t>
      </w:r>
      <w:r w:rsidRPr="00F17CC0">
        <w:rPr>
          <w:lang w:val="sr-Latn-BA"/>
        </w:rPr>
        <w:t>was observed</w:t>
      </w:r>
      <w:r w:rsidR="001F490F">
        <w:rPr>
          <w:lang w:val="sr-Latn-BA"/>
        </w:rPr>
        <w:t xml:space="preserve"> </w:t>
      </w:r>
      <w:r w:rsidR="00F17CC0" w:rsidRPr="00F17CC0">
        <w:t xml:space="preserve">compared to control </w:t>
      </w:r>
      <w:r w:rsidR="00F17CC0" w:rsidRPr="00A375EB">
        <w:rPr>
          <w:color w:val="FF0000"/>
        </w:rPr>
        <w:t>(7.910</w:t>
      </w:r>
      <w:r w:rsidR="00F17CC0" w:rsidRPr="00A375EB">
        <w:rPr>
          <w:color w:val="FF0000"/>
          <w:lang w:val="sr-Latn-BA"/>
        </w:rPr>
        <w:t>±</w:t>
      </w:r>
      <w:r w:rsidR="00F17CC0" w:rsidRPr="00A375EB">
        <w:rPr>
          <w:color w:val="FF0000"/>
        </w:rPr>
        <w:t xml:space="preserve">0.796 </w:t>
      </w:r>
      <w:r w:rsidR="0082738D" w:rsidRPr="0082738D">
        <w:rPr>
          <w:color w:val="FF0000"/>
          <w:highlight w:val="yellow"/>
          <w:lang w:val="sr-Latn-BA"/>
        </w:rPr>
        <w:t>U/g</w:t>
      </w:r>
      <w:r w:rsidR="001F490F">
        <w:rPr>
          <w:color w:val="FF0000"/>
          <w:highlight w:val="yellow"/>
          <w:lang w:val="sr-Latn-BA"/>
        </w:rPr>
        <w:t xml:space="preserve"> </w:t>
      </w:r>
      <w:r w:rsidR="0082738D" w:rsidRPr="0082738D">
        <w:rPr>
          <w:color w:val="FF0000"/>
          <w:highlight w:val="yellow"/>
          <w:lang w:val="sr-Latn-BA"/>
        </w:rPr>
        <w:t>Hb</w:t>
      </w:r>
      <w:r w:rsidR="00B05C75" w:rsidRPr="00A375EB">
        <w:rPr>
          <w:color w:val="FF0000"/>
          <w:lang w:val="sr-Cyrl-BA"/>
        </w:rPr>
        <w:t>)</w:t>
      </w:r>
      <w:r w:rsidR="00F17CC0" w:rsidRPr="00F17CC0">
        <w:t xml:space="preserve"> for 1 h and </w:t>
      </w:r>
      <w:r w:rsidR="00B05C75">
        <w:rPr>
          <w:lang w:val="sr-Cyrl-BA"/>
        </w:rPr>
        <w:t xml:space="preserve">3 </w:t>
      </w:r>
      <w:r w:rsidR="00B05C75">
        <w:t xml:space="preserve">h </w:t>
      </w:r>
      <w:r w:rsidR="00B05C75" w:rsidRPr="00591294">
        <w:rPr>
          <w:color w:val="FF0000"/>
        </w:rPr>
        <w:t>(</w:t>
      </w:r>
      <w:r w:rsidR="008C482E" w:rsidRPr="008C482E">
        <w:rPr>
          <w:color w:val="FF0000"/>
        </w:rPr>
        <w:t>9.374</w:t>
      </w:r>
      <w:r w:rsidR="008C482E" w:rsidRPr="008C482E">
        <w:rPr>
          <w:color w:val="FF0000"/>
          <w:lang w:val="sr-Latn-BA"/>
        </w:rPr>
        <w:t>±</w:t>
      </w:r>
      <w:r w:rsidR="008C482E" w:rsidRPr="008C482E">
        <w:rPr>
          <w:color w:val="FF0000"/>
        </w:rPr>
        <w:t xml:space="preserve">0.648 </w:t>
      </w:r>
      <w:r w:rsidR="0082738D" w:rsidRPr="0082738D">
        <w:rPr>
          <w:color w:val="FF0000"/>
          <w:highlight w:val="yellow"/>
          <w:lang w:val="sr-Latn-BA"/>
        </w:rPr>
        <w:t>U/g</w:t>
      </w:r>
      <w:r w:rsidR="001F490F">
        <w:rPr>
          <w:color w:val="FF0000"/>
          <w:highlight w:val="yellow"/>
          <w:lang w:val="sr-Latn-BA"/>
        </w:rPr>
        <w:t xml:space="preserve"> </w:t>
      </w:r>
      <w:r w:rsidR="0082738D" w:rsidRPr="0082738D">
        <w:rPr>
          <w:color w:val="FF0000"/>
          <w:highlight w:val="yellow"/>
          <w:lang w:val="sr-Latn-BA"/>
        </w:rPr>
        <w:t>Hb</w:t>
      </w:r>
      <w:r w:rsidR="008C482E" w:rsidRPr="008C482E">
        <w:rPr>
          <w:color w:val="FF0000"/>
          <w:lang w:val="sr-Latn-BA"/>
        </w:rPr>
        <w:t>)</w:t>
      </w:r>
      <w:r w:rsidR="001F490F">
        <w:rPr>
          <w:color w:val="FF0000"/>
          <w:lang w:val="sr-Latn-BA"/>
        </w:rPr>
        <w:t xml:space="preserve"> </w:t>
      </w:r>
      <w:r w:rsidR="00775F4E" w:rsidRPr="00090EB9">
        <w:t>(Fig</w:t>
      </w:r>
      <w:r w:rsidR="00090EB9">
        <w:t>.</w:t>
      </w:r>
      <w:r w:rsidR="00452545">
        <w:t xml:space="preserve"> </w:t>
      </w:r>
      <w:r w:rsidR="001F490F">
        <w:t>6</w:t>
      </w:r>
      <w:r w:rsidR="00775F4E" w:rsidRPr="00090EB9">
        <w:t>).</w:t>
      </w:r>
    </w:p>
    <w:p w:rsidR="004C06FF" w:rsidRDefault="004C06FF" w:rsidP="00B05C75">
      <w:pPr>
        <w:spacing w:line="360" w:lineRule="auto"/>
      </w:pPr>
    </w:p>
    <w:p w:rsidR="00B05C75" w:rsidRDefault="00452545" w:rsidP="00834A9D">
      <w:pPr>
        <w:spacing w:line="360" w:lineRule="auto"/>
        <w:jc w:val="center"/>
      </w:pPr>
      <w:r>
        <w:rPr>
          <w:noProof/>
        </w:rPr>
        <w:drawing>
          <wp:inline distT="0" distB="0" distL="0" distR="0">
            <wp:extent cx="2636191" cy="2289658"/>
            <wp:effectExtent l="19050" t="0" r="0" b="0"/>
            <wp:docPr id="10" name="Picture 9" descr="Fig. 6 correct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 corrected.tif"/>
                    <pic:cNvPicPr/>
                  </pic:nvPicPr>
                  <pic:blipFill>
                    <a:blip r:embed="rId15" cstate="print"/>
                    <a:stretch>
                      <a:fillRect/>
                    </a:stretch>
                  </pic:blipFill>
                  <pic:spPr>
                    <a:xfrm>
                      <a:off x="0" y="0"/>
                      <a:ext cx="2634336" cy="2288047"/>
                    </a:xfrm>
                    <a:prstGeom prst="rect">
                      <a:avLst/>
                    </a:prstGeom>
                  </pic:spPr>
                </pic:pic>
              </a:graphicData>
            </a:graphic>
          </wp:inline>
        </w:drawing>
      </w:r>
      <w:r w:rsidR="00AF0469">
        <w:rPr>
          <w:rStyle w:val="CommentReference"/>
          <w:rFonts w:ascii="Calibri" w:eastAsia="Calibri" w:hAnsi="Calibri"/>
        </w:rPr>
        <w:commentReference w:id="19"/>
      </w:r>
    </w:p>
    <w:p w:rsidR="00EB25C7" w:rsidRDefault="00EB25C7">
      <w:pPr>
        <w:spacing w:line="360" w:lineRule="auto"/>
        <w:jc w:val="center"/>
      </w:pPr>
    </w:p>
    <w:p w:rsidR="00EB25C7" w:rsidRDefault="00E54DA0">
      <w:pPr>
        <w:spacing w:line="360" w:lineRule="auto"/>
        <w:jc w:val="center"/>
      </w:pPr>
      <w:r w:rsidRPr="00090EB9">
        <w:t>Fig</w:t>
      </w:r>
      <w:r>
        <w:t>.</w:t>
      </w:r>
      <w:r w:rsidR="00452545">
        <w:t xml:space="preserve"> </w:t>
      </w:r>
      <w:r w:rsidR="001F490F">
        <w:t>6</w:t>
      </w:r>
      <w:r>
        <w:t>.</w:t>
      </w:r>
      <w:r w:rsidR="001F490F">
        <w:t xml:space="preserve"> </w:t>
      </w:r>
      <w:r w:rsidR="007B2298">
        <w:t xml:space="preserve">GST (glutathione-S-transferase) activity in samples control (0) and groups treated with </w:t>
      </w:r>
      <w:r w:rsidR="001F5FCD">
        <w:t xml:space="preserve">37 </w:t>
      </w:r>
      <w:r w:rsidR="001F5FCD">
        <w:sym w:font="Symbol" w:char="F06D"/>
      </w:r>
      <w:r w:rsidR="001F5FCD">
        <w:t>mol/L</w:t>
      </w:r>
      <w:r w:rsidR="007B2298">
        <w:t xml:space="preserve">, </w:t>
      </w:r>
      <w:r w:rsidR="001F5FCD">
        <w:t xml:space="preserve">3.7 </w:t>
      </w:r>
      <w:r w:rsidR="001F5FCD">
        <w:sym w:font="Symbol" w:char="F06D"/>
      </w:r>
      <w:r w:rsidR="001F5FCD">
        <w:t>mol/L</w:t>
      </w:r>
      <w:r w:rsidR="001F490F">
        <w:t xml:space="preserve"> </w:t>
      </w:r>
      <w:r w:rsidR="007B2298">
        <w:t xml:space="preserve">and </w:t>
      </w:r>
      <w:r w:rsidR="001F5FCD">
        <w:t>37 nmol/L</w:t>
      </w:r>
      <w:r w:rsidR="001F490F">
        <w:t xml:space="preserve"> </w:t>
      </w:r>
      <w:r w:rsidR="001E5599" w:rsidRPr="006F1591">
        <w:t>terbuthylazine</w:t>
      </w:r>
      <w:r w:rsidR="007B2298">
        <w:t xml:space="preserve"> incubated for 1 and 3 h. Results are presented as Mean ± S</w:t>
      </w:r>
      <w:r w:rsidR="006F1591">
        <w:t>E</w:t>
      </w:r>
      <w:r w:rsidR="00F17CC0">
        <w:t xml:space="preserve">. </w:t>
      </w:r>
      <w:r w:rsidR="007B2298">
        <w:t>* p&lt;0.05</w:t>
      </w:r>
      <w:r w:rsidR="00AE54BC">
        <w:t>: ** p&lt;0.01.</w:t>
      </w:r>
    </w:p>
    <w:p w:rsidR="00EB25C7" w:rsidRDefault="00EB25C7">
      <w:pPr>
        <w:spacing w:line="360" w:lineRule="auto"/>
        <w:ind w:firstLine="709"/>
        <w:jc w:val="center"/>
      </w:pPr>
    </w:p>
    <w:p w:rsidR="008C482E" w:rsidRDefault="00775F4E" w:rsidP="008C482E">
      <w:pPr>
        <w:spacing w:line="360" w:lineRule="auto"/>
        <w:ind w:firstLine="709"/>
      </w:pPr>
      <w:r w:rsidRPr="001514A8">
        <w:t>Erythrocyte</w:t>
      </w:r>
      <w:r w:rsidR="00B83A21" w:rsidRPr="001514A8">
        <w:t>s</w:t>
      </w:r>
      <w:r w:rsidRPr="001514A8">
        <w:t xml:space="preserve"> treatment with higher concentrations of </w:t>
      </w:r>
      <w:r w:rsidR="008C482E" w:rsidRPr="008C482E">
        <w:rPr>
          <w:color w:val="FF0000"/>
        </w:rPr>
        <w:t>terbuthylazine</w:t>
      </w:r>
      <w:r w:rsidRPr="001514A8">
        <w:t xml:space="preserve"> induced </w:t>
      </w:r>
      <w:r w:rsidR="009C0A3A" w:rsidRPr="001514A8">
        <w:t>a</w:t>
      </w:r>
      <w:r w:rsidR="001F490F">
        <w:t xml:space="preserve"> </w:t>
      </w:r>
      <w:r w:rsidR="008C482E" w:rsidRPr="008C482E">
        <w:rPr>
          <w:color w:val="FF0000"/>
        </w:rPr>
        <w:t>statistically significant</w:t>
      </w:r>
      <w:r w:rsidR="001F490F">
        <w:rPr>
          <w:color w:val="FF0000"/>
        </w:rPr>
        <w:t xml:space="preserve"> </w:t>
      </w:r>
      <w:r w:rsidRPr="001514A8">
        <w:t xml:space="preserve">increase in GST activity </w:t>
      </w:r>
      <w:r w:rsidR="006F1591" w:rsidRPr="001514A8">
        <w:t xml:space="preserve">(p&lt;0.01) </w:t>
      </w:r>
      <w:r w:rsidRPr="001514A8">
        <w:t>compared to the lowest concentration, which was especially pronounced after 3 h of incubation</w:t>
      </w:r>
      <w:r w:rsidR="001514A8">
        <w:t xml:space="preserve"> (Fig. </w:t>
      </w:r>
      <w:r w:rsidR="001F490F">
        <w:t>6</w:t>
      </w:r>
      <w:r w:rsidR="001514A8">
        <w:t>)</w:t>
      </w:r>
      <w:r w:rsidRPr="001514A8">
        <w:t>.</w:t>
      </w:r>
    </w:p>
    <w:p w:rsidR="008C482E" w:rsidRDefault="008C482E" w:rsidP="008C482E">
      <w:pPr>
        <w:spacing w:line="360" w:lineRule="auto"/>
        <w:rPr>
          <w:vertAlign w:val="superscript"/>
        </w:rPr>
      </w:pPr>
      <w:r w:rsidRPr="008C482E">
        <w:rPr>
          <w:color w:val="FF0000"/>
        </w:rPr>
        <w:t>El-Demerdash</w:t>
      </w:r>
      <w:r w:rsidR="004E22BB">
        <w:rPr>
          <w:color w:val="FF0000"/>
        </w:rPr>
        <w:t xml:space="preserve"> </w:t>
      </w:r>
      <w:r w:rsidRPr="008C482E">
        <w:rPr>
          <w:color w:val="FF0000"/>
        </w:rPr>
        <w:t xml:space="preserve">in </w:t>
      </w:r>
      <w:r w:rsidR="0082738D" w:rsidRPr="00590B7D">
        <w:rPr>
          <w:color w:val="FF0000"/>
        </w:rPr>
        <w:t>rabbit</w:t>
      </w:r>
      <w:r w:rsidRPr="008C482E">
        <w:rPr>
          <w:color w:val="FF0000"/>
        </w:rPr>
        <w:t xml:space="preserve"> erythrocytes measured decreased in GST activity for all concentrations </w:t>
      </w:r>
      <w:r w:rsidR="009C0A3A" w:rsidRPr="008C482E">
        <w:rPr>
          <w:color w:val="FF0000"/>
        </w:rPr>
        <w:t>of synthetic</w:t>
      </w:r>
      <w:r w:rsidRPr="008C482E">
        <w:rPr>
          <w:color w:val="FF0000"/>
        </w:rPr>
        <w:t xml:space="preserve"> pyrethroids insecticide lambda-cyhalothrin incubated for 4 h,</w:t>
      </w:r>
      <w:r w:rsidR="00B05C75">
        <w:rPr>
          <w:color w:val="FF0000"/>
          <w:vertAlign w:val="superscript"/>
        </w:rPr>
        <w:t>3</w:t>
      </w:r>
      <w:r w:rsidRPr="008C482E">
        <w:rPr>
          <w:color w:val="FF0000"/>
        </w:rPr>
        <w:t xml:space="preserve"> while treatment for 3 h with</w:t>
      </w:r>
      <w:r w:rsidR="001F490F">
        <w:rPr>
          <w:color w:val="FF0000"/>
        </w:rPr>
        <w:t xml:space="preserve"> </w:t>
      </w:r>
      <w:r w:rsidRPr="008C482E">
        <w:rPr>
          <w:color w:val="FF0000"/>
        </w:rPr>
        <w:t xml:space="preserve">organochlorine insecticide endosulfan and organophosphorus insecticide chlorpyrifos in </w:t>
      </w:r>
      <w:r w:rsidRPr="0007053F">
        <w:rPr>
          <w:color w:val="FF0000"/>
        </w:rPr>
        <w:t>rat</w:t>
      </w:r>
      <w:r w:rsidRPr="008C482E">
        <w:rPr>
          <w:color w:val="FF0000"/>
        </w:rPr>
        <w:t xml:space="preserve"> erythrocytes induced increased in GST activity</w:t>
      </w:r>
      <w:r w:rsidR="001514A8" w:rsidRPr="001514A8">
        <w:t>.</w:t>
      </w:r>
      <w:r w:rsidR="00B05C75">
        <w:rPr>
          <w:vertAlign w:val="superscript"/>
        </w:rPr>
        <w:t>4</w:t>
      </w:r>
    </w:p>
    <w:p w:rsidR="008C482E" w:rsidRDefault="008C482E" w:rsidP="008C482E">
      <w:pPr>
        <w:tabs>
          <w:tab w:val="left" w:pos="6946"/>
        </w:tabs>
        <w:spacing w:line="360" w:lineRule="auto"/>
        <w:ind w:firstLine="709"/>
      </w:pPr>
      <w:r w:rsidRPr="008C482E">
        <w:rPr>
          <w:color w:val="FF0000"/>
        </w:rPr>
        <w:t xml:space="preserve">As already mentioned in the Introduction section, there is no data on the metabolism of </w:t>
      </w:r>
      <w:r w:rsidR="001D67C0" w:rsidRPr="008C482E">
        <w:rPr>
          <w:color w:val="FF0000"/>
        </w:rPr>
        <w:t>terbuthylazine</w:t>
      </w:r>
      <w:r w:rsidRPr="008C482E">
        <w:rPr>
          <w:color w:val="FF0000"/>
        </w:rPr>
        <w:t xml:space="preserve"> in </w:t>
      </w:r>
      <w:r w:rsidR="0082738D" w:rsidRPr="00590B7D">
        <w:rPr>
          <w:color w:val="FF0000"/>
        </w:rPr>
        <w:t>human cells</w:t>
      </w:r>
      <w:r w:rsidRPr="008C482E">
        <w:rPr>
          <w:color w:val="FF0000"/>
        </w:rPr>
        <w:t xml:space="preserve"> only in </w:t>
      </w:r>
      <w:r w:rsidR="0082738D" w:rsidRPr="00590B7D">
        <w:rPr>
          <w:color w:val="FF0000"/>
        </w:rPr>
        <w:t>rat</w:t>
      </w:r>
      <w:r w:rsidR="0007053F">
        <w:rPr>
          <w:color w:val="FF0000"/>
        </w:rPr>
        <w:t xml:space="preserve"> cells</w:t>
      </w:r>
      <w:r w:rsidRPr="008C482E">
        <w:rPr>
          <w:color w:val="FF0000"/>
        </w:rPr>
        <w:t xml:space="preserve">. So far, the best studied mechanism of terbuthylazine detoxification is in </w:t>
      </w:r>
      <w:r w:rsidR="0082738D" w:rsidRPr="00590B7D">
        <w:rPr>
          <w:color w:val="FF0000"/>
        </w:rPr>
        <w:t>plant cells</w:t>
      </w:r>
      <w:r w:rsidRPr="008C482E">
        <w:rPr>
          <w:color w:val="FF0000"/>
        </w:rPr>
        <w:t xml:space="preserve"> which, among others, involves conjugation with glutathione catalysed with GST.</w:t>
      </w:r>
      <w:r w:rsidR="004D2914">
        <w:rPr>
          <w:color w:val="FF0000"/>
        </w:rPr>
        <w:t xml:space="preserve"> </w:t>
      </w:r>
      <w:r w:rsidRPr="008C482E">
        <w:rPr>
          <w:color w:val="FF0000"/>
        </w:rPr>
        <w:t>In plants chloro-triazines</w:t>
      </w:r>
      <w:r w:rsidR="004D2914">
        <w:rPr>
          <w:color w:val="FF0000"/>
        </w:rPr>
        <w:t xml:space="preserve"> </w:t>
      </w:r>
      <w:r w:rsidR="00775F4E">
        <w:t>are metabolized at the chloro- or 2-position of the triazine ring by hydrolytic dehalogenation via a nonenzymic constituent of plant sap to the corresponding hydroxytriazines.</w:t>
      </w:r>
      <w:r w:rsidR="00B05C75">
        <w:rPr>
          <w:vertAlign w:val="superscript"/>
        </w:rPr>
        <w:t xml:space="preserve">31 </w:t>
      </w:r>
      <w:r w:rsidR="00775F4E">
        <w:t xml:space="preserve">Another important reaction of the chloro group involves an enzyme-mediated conjugation with glutathione to form a series of S-bound </w:t>
      </w:r>
      <w:r w:rsidR="00775F4E">
        <w:lastRenderedPageBreak/>
        <w:t>amino-acid conjugates. These compounds can rearrange to form N-bound amino-acid conjugates. A third metabolic reaction involves oxidation of the alkyl-amino side chains located at the 4- and 6-positions of the triazine ring, prior to sugar conjugation or N-dealkylation. In the case where the alkyl amino group contains a CN</w:t>
      </w:r>
      <w:r w:rsidR="00775F4E">
        <w:rPr>
          <w:vertAlign w:val="superscript"/>
        </w:rPr>
        <w:t>-</w:t>
      </w:r>
      <w:r w:rsidR="00775F4E">
        <w:t xml:space="preserve">, hydrolysis leads to amide and carboxylic acid formation on the alkyl group. These three competing reactions can result in a complex mixture of Phase I metabolites (simple metabolites) and Phase II metabolites (conjugates of simple metabolites) that can occur either free or bound in various plant matrices. </w:t>
      </w:r>
    </w:p>
    <w:p w:rsidR="008C482E" w:rsidRPr="008C482E" w:rsidRDefault="008C482E" w:rsidP="008C482E">
      <w:pPr>
        <w:tabs>
          <w:tab w:val="left" w:pos="6946"/>
        </w:tabs>
        <w:spacing w:line="360" w:lineRule="auto"/>
        <w:ind w:firstLine="709"/>
        <w:rPr>
          <w:color w:val="FF0000"/>
        </w:rPr>
      </w:pPr>
      <w:r w:rsidRPr="008C482E">
        <w:rPr>
          <w:color w:val="FF0000"/>
        </w:rPr>
        <w:t>Neefjes and coworkers</w:t>
      </w:r>
      <w:r w:rsidR="004D2914">
        <w:rPr>
          <w:color w:val="FF0000"/>
        </w:rPr>
        <w:t xml:space="preserve"> </w:t>
      </w:r>
      <w:r w:rsidRPr="008C482E">
        <w:rPr>
          <w:color w:val="FF0000"/>
        </w:rPr>
        <w:t>showed that GST from erythrocyte is a marker of oxidative damage.</w:t>
      </w:r>
      <w:r w:rsidR="00B05C75">
        <w:rPr>
          <w:color w:val="FF0000"/>
          <w:vertAlign w:val="superscript"/>
        </w:rPr>
        <w:t>32</w:t>
      </w:r>
      <w:r w:rsidR="004D2914">
        <w:rPr>
          <w:color w:val="FF0000"/>
          <w:vertAlign w:val="superscript"/>
        </w:rPr>
        <w:t xml:space="preserve"> </w:t>
      </w:r>
      <w:r w:rsidRPr="008C482E">
        <w:rPr>
          <w:color w:val="FF0000"/>
        </w:rPr>
        <w:t xml:space="preserve">A decrease in GST activity at the lowest concentration of terbuthylazine that we obtained may be due to an induction of antioxidative metabolism especially SOD1, which proved to be most sensitive in response to different concentrations of terbuthylazine during acute exposure (Fig. </w:t>
      </w:r>
      <w:r w:rsidR="004D2914">
        <w:rPr>
          <w:color w:val="FF0000"/>
        </w:rPr>
        <w:t>3</w:t>
      </w:r>
      <w:r w:rsidRPr="008C482E">
        <w:rPr>
          <w:color w:val="FF0000"/>
        </w:rPr>
        <w:t>). On the other hand, at high concentrations of terbuthylazine during 3 h incubation, GST activity increases which highlight the importance of GST in defense of ROS in prooxidative conditions when SOD is inhibited.</w:t>
      </w:r>
    </w:p>
    <w:p w:rsidR="000E06C5" w:rsidRPr="00866FC4" w:rsidRDefault="000E06C5" w:rsidP="00834A9D">
      <w:pPr>
        <w:spacing w:line="360" w:lineRule="auto"/>
        <w:ind w:firstLine="709"/>
      </w:pPr>
    </w:p>
    <w:p w:rsidR="00EB25C7" w:rsidRDefault="005020F2">
      <w:pPr>
        <w:spacing w:line="360" w:lineRule="auto"/>
        <w:jc w:val="center"/>
      </w:pPr>
      <w:r w:rsidRPr="005020F2">
        <w:t>CONCLUSIONS</w:t>
      </w:r>
    </w:p>
    <w:p w:rsidR="00EB25C7" w:rsidRDefault="00EB25C7">
      <w:pPr>
        <w:spacing w:line="360" w:lineRule="auto"/>
        <w:jc w:val="center"/>
      </w:pPr>
    </w:p>
    <w:p w:rsidR="008C482E" w:rsidRDefault="000B4F0F" w:rsidP="008C482E">
      <w:pPr>
        <w:spacing w:line="360" w:lineRule="auto"/>
        <w:ind w:firstLine="720"/>
      </w:pPr>
      <w:r>
        <w:t>The results obtained have</w:t>
      </w:r>
      <w:r w:rsidRPr="004A7AEE">
        <w:t xml:space="preserve"> shown the activation of SOD</w:t>
      </w:r>
      <w:r w:rsidR="00815F9C">
        <w:t>1</w:t>
      </w:r>
      <w:r w:rsidRPr="004A7AEE">
        <w:t xml:space="preserve"> at lower concentrations of </w:t>
      </w:r>
      <w:r w:rsidR="00D15821" w:rsidRPr="00445D76">
        <w:t>terbuthylazine</w:t>
      </w:r>
      <w:r w:rsidRPr="00445D76">
        <w:t xml:space="preserve"> and CAT at higher concentrations of </w:t>
      </w:r>
      <w:r w:rsidR="00D15821" w:rsidRPr="00445D76">
        <w:t>terbuthylazine</w:t>
      </w:r>
      <w:r w:rsidRPr="00445D76">
        <w:t xml:space="preserve"> during </w:t>
      </w:r>
      <w:r w:rsidR="00445D76">
        <w:t xml:space="preserve">acute </w:t>
      </w:r>
      <w:r w:rsidR="00445D76" w:rsidRPr="00445D76">
        <w:t>incubation</w:t>
      </w:r>
      <w:r w:rsidR="00445D76">
        <w:t xml:space="preserve"> of</w:t>
      </w:r>
      <w:r w:rsidR="004D2914">
        <w:t xml:space="preserve"> </w:t>
      </w:r>
      <w:r w:rsidRPr="00445D76">
        <w:t xml:space="preserve">1 h. Meanwhile, GST, as an enzyme of the second stage of oxidative stress defense, is activated at higher </w:t>
      </w:r>
      <w:r w:rsidR="00D15821" w:rsidRPr="00445D76">
        <w:t>terbuthylazine</w:t>
      </w:r>
      <w:r w:rsidRPr="00445D76">
        <w:t xml:space="preserve"> concentrations during 3 h of incubation</w:t>
      </w:r>
      <w:r w:rsidRPr="004A7AEE">
        <w:t>. Such results may indicate the organism</w:t>
      </w:r>
      <w:r>
        <w:t>’</w:t>
      </w:r>
      <w:r w:rsidRPr="004A7AEE">
        <w:t>s strategy in oxidative stress protection.</w:t>
      </w:r>
      <w:r w:rsidR="004D2914">
        <w:t xml:space="preserve"> </w:t>
      </w:r>
      <w:r>
        <w:t xml:space="preserve">As a consequence of chronic exposure to </w:t>
      </w:r>
      <w:r w:rsidRPr="005E231E">
        <w:t>low concentrations of pesticides, changes can occur in antioxidant capacity at the systemic level.</w:t>
      </w:r>
      <w:r w:rsidR="004D2914">
        <w:t xml:space="preserve"> </w:t>
      </w:r>
      <w:r w:rsidR="008C482E" w:rsidRPr="008C482E">
        <w:rPr>
          <w:color w:val="FF0000"/>
        </w:rPr>
        <w:t>Because of the potential impact of the accompanying compounds of the commercial preparation Hemazin SC 500, on antioxidative metabolism of erythrocytes, future research will be focused on the study of influence of pure terbuthylazine</w:t>
      </w:r>
      <w:r w:rsidR="003317AA">
        <w:t>.</w:t>
      </w:r>
    </w:p>
    <w:p w:rsidR="008C482E" w:rsidRDefault="00762ADE" w:rsidP="008C482E">
      <w:pPr>
        <w:spacing w:line="360" w:lineRule="auto"/>
        <w:rPr>
          <w:lang w:val="sr-Latn-BA"/>
        </w:rPr>
      </w:pPr>
      <w:r w:rsidRPr="00D546DC">
        <w:rPr>
          <w:rFonts w:eastAsia="Calibri"/>
          <w:i/>
          <w:iCs/>
        </w:rPr>
        <w:t>Acknowledgments</w:t>
      </w:r>
      <w:r w:rsidR="00D546DC" w:rsidRPr="00D546DC">
        <w:rPr>
          <w:bCs/>
          <w:i/>
          <w:color w:val="444444"/>
        </w:rPr>
        <w:t>:</w:t>
      </w:r>
      <w:r w:rsidR="004D2914">
        <w:rPr>
          <w:bCs/>
          <w:i/>
          <w:color w:val="444444"/>
        </w:rPr>
        <w:t xml:space="preserve"> </w:t>
      </w:r>
      <w:r w:rsidR="00A85FEC" w:rsidRPr="002346E7">
        <w:rPr>
          <w:rFonts w:eastAsia="Calibri"/>
        </w:rPr>
        <w:t xml:space="preserve">This study was </w:t>
      </w:r>
      <w:r w:rsidR="00A85FEC" w:rsidRPr="002346E7">
        <w:t xml:space="preserve">supported by the </w:t>
      </w:r>
      <w:r w:rsidR="00A85FEC" w:rsidRPr="002346E7">
        <w:rPr>
          <w:rFonts w:eastAsia="Calibri"/>
        </w:rPr>
        <w:t>Ministry of Science and Technology of the Republic of Srpska, under Grant 19/6-020/961-24/15.</w:t>
      </w:r>
    </w:p>
    <w:p w:rsidR="008C482E" w:rsidRDefault="00EC34F9" w:rsidP="008C482E">
      <w:pPr>
        <w:spacing w:line="360" w:lineRule="auto"/>
      </w:pPr>
      <w:r w:rsidRPr="00893F16">
        <w:rPr>
          <w:i/>
        </w:rPr>
        <w:t>Conflict of interest:</w:t>
      </w:r>
      <w:r w:rsidR="004D2914">
        <w:rPr>
          <w:i/>
        </w:rPr>
        <w:t xml:space="preserve"> </w:t>
      </w:r>
      <w:r w:rsidRPr="00893F16">
        <w:t>The authors report no conflicts of interest.</w:t>
      </w:r>
    </w:p>
    <w:p w:rsidR="000D2E65" w:rsidRDefault="000D2E65" w:rsidP="00834A9D">
      <w:pPr>
        <w:spacing w:line="360" w:lineRule="auto"/>
        <w:rPr>
          <w:b/>
          <w:lang w:val="sr-Cyrl-BA"/>
        </w:rPr>
      </w:pPr>
    </w:p>
    <w:p w:rsidR="00D2681D" w:rsidRDefault="00D2681D">
      <w:pPr>
        <w:spacing w:line="360" w:lineRule="auto"/>
        <w:jc w:val="center"/>
        <w:rPr>
          <w:lang w:val="sr-Latn-BA"/>
        </w:rPr>
      </w:pPr>
    </w:p>
    <w:p w:rsidR="00D2681D" w:rsidRDefault="00D2681D">
      <w:pPr>
        <w:spacing w:line="360" w:lineRule="auto"/>
        <w:jc w:val="center"/>
        <w:rPr>
          <w:lang w:val="sr-Latn-BA"/>
        </w:rPr>
      </w:pPr>
    </w:p>
    <w:p w:rsidR="00D2681D" w:rsidRDefault="00D2681D">
      <w:pPr>
        <w:spacing w:line="360" w:lineRule="auto"/>
        <w:jc w:val="center"/>
        <w:rPr>
          <w:lang w:val="sr-Latn-BA"/>
        </w:rPr>
      </w:pPr>
    </w:p>
    <w:p w:rsidR="00EB25C7" w:rsidRDefault="009A38C0">
      <w:pPr>
        <w:spacing w:line="360" w:lineRule="auto"/>
        <w:jc w:val="center"/>
        <w:rPr>
          <w:lang w:val="sr-Cyrl-BA"/>
        </w:rPr>
      </w:pPr>
      <w:r w:rsidRPr="009A38C0">
        <w:rPr>
          <w:lang w:val="sr-Cyrl-BA"/>
        </w:rPr>
        <w:lastRenderedPageBreak/>
        <w:t>ИЗВОД</w:t>
      </w:r>
    </w:p>
    <w:p w:rsidR="00EB25C7" w:rsidRDefault="00BB5DDB">
      <w:pPr>
        <w:spacing w:line="360" w:lineRule="auto"/>
        <w:jc w:val="center"/>
        <w:rPr>
          <w:b/>
          <w:i/>
          <w:iCs/>
          <w:lang w:val="sr-Cyrl-BA"/>
        </w:rPr>
      </w:pPr>
      <w:r w:rsidRPr="000D2E65">
        <w:rPr>
          <w:b/>
          <w:lang w:val="sr-Cyrl-BA"/>
        </w:rPr>
        <w:t xml:space="preserve">Ефекат Хемазина </w:t>
      </w:r>
      <w:r w:rsidR="00812CC4">
        <w:rPr>
          <w:b/>
        </w:rPr>
        <w:t>SC</w:t>
      </w:r>
      <w:r w:rsidR="009A38C0" w:rsidRPr="009A38C0">
        <w:rPr>
          <w:b/>
          <w:lang w:val="sr-Cyrl-BA"/>
        </w:rPr>
        <w:t xml:space="preserve"> 500</w:t>
      </w:r>
      <w:r w:rsidRPr="000D2E65">
        <w:rPr>
          <w:b/>
          <w:lang w:val="sr-Cyrl-BA"/>
        </w:rPr>
        <w:t xml:space="preserve"> (тербутилазин) на антиоксидативне ензиме у хуманим еритроцитима </w:t>
      </w:r>
      <w:r w:rsidRPr="000D2E65">
        <w:rPr>
          <w:b/>
          <w:i/>
          <w:iCs/>
        </w:rPr>
        <w:t>in</w:t>
      </w:r>
      <w:r w:rsidR="0082738D" w:rsidRPr="0082738D">
        <w:rPr>
          <w:b/>
          <w:i/>
          <w:iCs/>
          <w:lang w:val="sr-Cyrl-BA"/>
        </w:rPr>
        <w:t xml:space="preserve"> </w:t>
      </w:r>
      <w:r w:rsidRPr="000D2E65">
        <w:rPr>
          <w:b/>
          <w:i/>
          <w:iCs/>
        </w:rPr>
        <w:t>vitro</w:t>
      </w:r>
    </w:p>
    <w:p w:rsidR="00EB25C7" w:rsidRDefault="009A38C0">
      <w:pPr>
        <w:spacing w:line="360" w:lineRule="auto"/>
        <w:jc w:val="center"/>
        <w:rPr>
          <w:vertAlign w:val="superscript"/>
          <w:lang w:val="sr-Cyrl-BA"/>
        </w:rPr>
      </w:pPr>
      <w:r w:rsidRPr="009A38C0">
        <w:rPr>
          <w:lang w:val="sr-Cyrl-BA"/>
        </w:rPr>
        <w:t>БИЉАНА ДАВИДОВИЋ-ПЛАВШИЋ</w:t>
      </w:r>
      <w:r w:rsidRPr="009A38C0">
        <w:rPr>
          <w:vertAlign w:val="superscript"/>
          <w:lang w:val="sr-Cyrl-BA"/>
        </w:rPr>
        <w:t>1</w:t>
      </w:r>
      <w:r w:rsidR="00AE4147" w:rsidRPr="00AE4147">
        <w:rPr>
          <w:vertAlign w:val="superscript"/>
          <w:lang w:val="sr-Cyrl-BA"/>
        </w:rPr>
        <w:t>*</w:t>
      </w:r>
      <w:r w:rsidRPr="009A38C0">
        <w:rPr>
          <w:lang w:val="sr-Cyrl-BA"/>
        </w:rPr>
        <w:t>, НАТАША ЛУКИЋ</w:t>
      </w:r>
      <w:r w:rsidRPr="009A38C0">
        <w:rPr>
          <w:vertAlign w:val="superscript"/>
          <w:lang w:val="sr-Cyrl-BA"/>
        </w:rPr>
        <w:t>2</w:t>
      </w:r>
      <w:r w:rsidRPr="009A38C0">
        <w:rPr>
          <w:lang w:val="sr-Cyrl-BA"/>
        </w:rPr>
        <w:t>, АЛЕКСАНДРА НИКОЛИЋ-КОКИЋ</w:t>
      </w:r>
      <w:r w:rsidRPr="009A38C0">
        <w:rPr>
          <w:vertAlign w:val="superscript"/>
          <w:lang w:val="sr-Cyrl-BA"/>
        </w:rPr>
        <w:t>3</w:t>
      </w:r>
      <w:r w:rsidRPr="009A38C0">
        <w:rPr>
          <w:lang w:val="sr-Cyrl-BA"/>
        </w:rPr>
        <w:t xml:space="preserve"> И БИЉАНА КУКАВИЦА</w:t>
      </w:r>
      <w:r w:rsidRPr="009A38C0">
        <w:rPr>
          <w:vertAlign w:val="superscript"/>
          <w:lang w:val="sr-Cyrl-BA"/>
        </w:rPr>
        <w:t>1</w:t>
      </w:r>
    </w:p>
    <w:p w:rsidR="00EB25C7" w:rsidRDefault="00EB25C7">
      <w:pPr>
        <w:spacing w:line="360" w:lineRule="auto"/>
        <w:jc w:val="center"/>
        <w:rPr>
          <w:b/>
          <w:lang w:val="sr-Cyrl-BA"/>
        </w:rPr>
      </w:pPr>
    </w:p>
    <w:p w:rsidR="00EB25C7" w:rsidRDefault="00A30257">
      <w:pPr>
        <w:spacing w:line="360" w:lineRule="auto"/>
        <w:jc w:val="center"/>
        <w:rPr>
          <w:i/>
          <w:lang w:val="sr-Cyrl-BA"/>
        </w:rPr>
      </w:pPr>
      <w:r>
        <w:rPr>
          <w:i/>
          <w:vertAlign w:val="superscript"/>
          <w:lang w:val="sr-Cyrl-BA"/>
        </w:rPr>
        <w:t>1</w:t>
      </w:r>
      <w:r w:rsidRPr="005C6145">
        <w:rPr>
          <w:i/>
          <w:lang w:val="sr-Cyrl-BA"/>
        </w:rPr>
        <w:t>Универзитет у Бања Луци, Природно-математички факултет, Младена Стојановића 2, 78 000 Бања Лука, Босна и Херцеговина</w:t>
      </w:r>
      <w:r w:rsidR="00F548B0">
        <w:rPr>
          <w:i/>
          <w:lang w:val="sr-Latn-BA"/>
        </w:rPr>
        <w:t xml:space="preserve">, </w:t>
      </w:r>
      <w:r>
        <w:rPr>
          <w:i/>
          <w:vertAlign w:val="superscript"/>
          <w:lang w:val="sr-Cyrl-BA"/>
        </w:rPr>
        <w:t>2</w:t>
      </w:r>
      <w:r>
        <w:rPr>
          <w:i/>
          <w:lang w:val="sr-Cyrl-BA"/>
        </w:rPr>
        <w:t>Универзитет у Новом Саду, Природно-математички факултет, Трг Доситеја Обрадовића 2, 21 000 Нови С</w:t>
      </w:r>
      <w:r w:rsidR="00D2681D">
        <w:rPr>
          <w:i/>
          <w:lang w:val="sr-Cyrl-BA"/>
        </w:rPr>
        <w:t>ад</w:t>
      </w:r>
      <w:r>
        <w:rPr>
          <w:i/>
          <w:lang w:val="sr-Cyrl-BA"/>
        </w:rPr>
        <w:t>, Србија</w:t>
      </w:r>
      <w:r w:rsidR="00F548B0">
        <w:rPr>
          <w:i/>
          <w:lang w:val="sr-Latn-BA"/>
        </w:rPr>
        <w:t xml:space="preserve">, </w:t>
      </w:r>
      <w:r>
        <w:rPr>
          <w:i/>
          <w:vertAlign w:val="superscript"/>
          <w:lang w:val="sr-Cyrl-BA"/>
        </w:rPr>
        <w:t>3</w:t>
      </w:r>
      <w:r>
        <w:rPr>
          <w:i/>
          <w:lang w:val="sr-Cyrl-BA"/>
        </w:rPr>
        <w:t>Универзитет у Београду, Институт за биолошка истраживња „Синиша Станковић“, Булевар деспота Стефана 142, 11060 Београд, Србија</w:t>
      </w:r>
    </w:p>
    <w:p w:rsidR="00EB25C7" w:rsidRDefault="00EB25C7">
      <w:pPr>
        <w:spacing w:line="360" w:lineRule="auto"/>
        <w:jc w:val="left"/>
        <w:rPr>
          <w:i/>
          <w:lang w:val="sr-Cyrl-BA"/>
        </w:rPr>
      </w:pPr>
    </w:p>
    <w:p w:rsidR="00A30257" w:rsidRDefault="00A30257" w:rsidP="00834A9D">
      <w:pPr>
        <w:spacing w:line="360" w:lineRule="auto"/>
        <w:rPr>
          <w:lang w:val="sr-Latn-BA"/>
        </w:rPr>
      </w:pPr>
      <w:r w:rsidRPr="00A30257">
        <w:rPr>
          <w:lang w:val="sr-Cyrl-BA"/>
        </w:rPr>
        <w:t xml:space="preserve">Циљ нашег рада је </w:t>
      </w:r>
      <w:r>
        <w:rPr>
          <w:lang w:val="sr-Cyrl-BA"/>
        </w:rPr>
        <w:t>б</w:t>
      </w:r>
      <w:r w:rsidRPr="00A30257">
        <w:rPr>
          <w:lang w:val="sr-Cyrl-BA"/>
        </w:rPr>
        <w:t>ио да се испита ефекат хер</w:t>
      </w:r>
      <w:r w:rsidR="004D2914">
        <w:rPr>
          <w:lang w:val="sr-Cyrl-BA"/>
        </w:rPr>
        <w:t>б</w:t>
      </w:r>
      <w:r w:rsidRPr="00A30257">
        <w:rPr>
          <w:lang w:val="sr-Cyrl-BA"/>
        </w:rPr>
        <w:t xml:space="preserve">ицида, комерцијалног назива Хемазин </w:t>
      </w:r>
      <w:r>
        <w:rPr>
          <w:lang w:val="sr-Latn-BA"/>
        </w:rPr>
        <w:t>SC</w:t>
      </w:r>
      <w:r w:rsidRPr="00A30257">
        <w:rPr>
          <w:lang w:val="sr-Cyrl-BA"/>
        </w:rPr>
        <w:t xml:space="preserve"> 500, са </w:t>
      </w:r>
      <w:r w:rsidR="00D15821" w:rsidRPr="00834A9D">
        <w:rPr>
          <w:lang w:val="sr-Cyrl-BA"/>
        </w:rPr>
        <w:t>тербутилазином</w:t>
      </w:r>
      <w:r w:rsidRPr="00A30257">
        <w:rPr>
          <w:lang w:val="sr-Cyrl-BA"/>
        </w:rPr>
        <w:t xml:space="preserve"> као активном компонентом на изоензимски профил и активност </w:t>
      </w:r>
      <w:r>
        <w:rPr>
          <w:lang w:val="sr-Latn-BA"/>
        </w:rPr>
        <w:t>CuZn</w:t>
      </w:r>
      <w:r w:rsidRPr="00A30257">
        <w:rPr>
          <w:lang w:val="sr-Cyrl-BA"/>
        </w:rPr>
        <w:t xml:space="preserve"> супероксид дисмута</w:t>
      </w:r>
      <w:r>
        <w:rPr>
          <w:lang w:val="sr-Cyrl-BA"/>
        </w:rPr>
        <w:t>зе</w:t>
      </w:r>
      <w:r w:rsidRPr="00A30257">
        <w:rPr>
          <w:lang w:val="sr-Cyrl-BA"/>
        </w:rPr>
        <w:t xml:space="preserve"> (</w:t>
      </w:r>
      <w:r>
        <w:t>SOD</w:t>
      </w:r>
      <w:r w:rsidRPr="00A30257">
        <w:rPr>
          <w:lang w:val="sr-Cyrl-BA"/>
        </w:rPr>
        <w:t>1) и каталазе (</w:t>
      </w:r>
      <w:r w:rsidRPr="00476438">
        <w:t>CAT</w:t>
      </w:r>
      <w:r w:rsidRPr="00A30257">
        <w:rPr>
          <w:lang w:val="sr-Cyrl-BA"/>
        </w:rPr>
        <w:t>) као и на активност глутатион-</w:t>
      </w:r>
      <w:r w:rsidRPr="00476438">
        <w:t>S</w:t>
      </w:r>
      <w:r w:rsidRPr="00A30257">
        <w:rPr>
          <w:lang w:val="sr-Cyrl-BA"/>
        </w:rPr>
        <w:t>-трансферазе (</w:t>
      </w:r>
      <w:r w:rsidRPr="00476438">
        <w:t>GST</w:t>
      </w:r>
      <w:r w:rsidRPr="00A30257">
        <w:rPr>
          <w:lang w:val="sr-Cyrl-BA"/>
        </w:rPr>
        <w:t xml:space="preserve">) у хуманим еритроцитима </w:t>
      </w:r>
      <w:r w:rsidRPr="00476438">
        <w:rPr>
          <w:i/>
        </w:rPr>
        <w:t>in</w:t>
      </w:r>
      <w:r w:rsidR="004D2914">
        <w:rPr>
          <w:i/>
          <w:lang w:val="sr-Cyrl-BA"/>
        </w:rPr>
        <w:t xml:space="preserve"> </w:t>
      </w:r>
      <w:r w:rsidRPr="00476438">
        <w:rPr>
          <w:i/>
        </w:rPr>
        <w:t>vitro</w:t>
      </w:r>
      <w:r w:rsidRPr="00A30257">
        <w:rPr>
          <w:lang w:val="sr-Cyrl-BA"/>
        </w:rPr>
        <w:t>.</w:t>
      </w:r>
      <w:r w:rsidR="004D2914">
        <w:rPr>
          <w:lang w:val="sr-Cyrl-BA"/>
        </w:rPr>
        <w:t xml:space="preserve"> </w:t>
      </w:r>
      <w:r w:rsidRPr="00A30257">
        <w:rPr>
          <w:lang w:val="sr-Cyrl-BA"/>
        </w:rPr>
        <w:t>Хумани еритроцити су третирани тер</w:t>
      </w:r>
      <w:r>
        <w:rPr>
          <w:lang w:val="sr-Cyrl-BA"/>
        </w:rPr>
        <w:t>б</w:t>
      </w:r>
      <w:r w:rsidRPr="00A30257">
        <w:rPr>
          <w:lang w:val="sr-Cyrl-BA"/>
        </w:rPr>
        <w:t>утилазин</w:t>
      </w:r>
      <w:r w:rsidR="001E0267">
        <w:rPr>
          <w:lang w:val="sr-Cyrl-BA"/>
        </w:rPr>
        <w:t xml:space="preserve">ом </w:t>
      </w:r>
      <w:r w:rsidR="008C482E" w:rsidRPr="008C482E">
        <w:rPr>
          <w:color w:val="4F81BD" w:themeColor="accent1"/>
          <w:lang w:val="sr-Cyrl-BA"/>
        </w:rPr>
        <w:t xml:space="preserve">у широком опсегу концентрација (37 </w:t>
      </w:r>
      <w:r w:rsidR="008C482E" w:rsidRPr="008C482E">
        <w:rPr>
          <w:color w:val="4F81BD" w:themeColor="accent1"/>
        </w:rPr>
        <w:t>nmol</w:t>
      </w:r>
      <w:r w:rsidR="008C482E" w:rsidRPr="008C482E">
        <w:rPr>
          <w:color w:val="4F81BD" w:themeColor="accent1"/>
          <w:lang w:val="sr-Cyrl-BA"/>
        </w:rPr>
        <w:t>/</w:t>
      </w:r>
      <w:r w:rsidR="008C482E" w:rsidRPr="008C482E">
        <w:rPr>
          <w:color w:val="4F81BD" w:themeColor="accent1"/>
        </w:rPr>
        <w:t>L</w:t>
      </w:r>
      <w:r w:rsidR="008C482E" w:rsidRPr="008C482E">
        <w:rPr>
          <w:color w:val="4F81BD" w:themeColor="accent1"/>
          <w:lang w:val="sr-Cyrl-BA"/>
        </w:rPr>
        <w:t xml:space="preserve"> - 37 </w:t>
      </w:r>
      <w:r w:rsidR="008C482E" w:rsidRPr="008C482E">
        <w:rPr>
          <w:color w:val="4F81BD" w:themeColor="accent1"/>
        </w:rPr>
        <w:sym w:font="Symbol" w:char="F06D"/>
      </w:r>
      <w:r w:rsidR="008C482E" w:rsidRPr="008C482E">
        <w:rPr>
          <w:color w:val="4F81BD" w:themeColor="accent1"/>
        </w:rPr>
        <w:t>mol</w:t>
      </w:r>
      <w:r w:rsidR="008C482E" w:rsidRPr="008C482E">
        <w:rPr>
          <w:color w:val="4F81BD" w:themeColor="accent1"/>
          <w:lang w:val="sr-Cyrl-BA"/>
        </w:rPr>
        <w:t>/</w:t>
      </w:r>
      <w:r w:rsidR="008C482E" w:rsidRPr="008C482E">
        <w:rPr>
          <w:color w:val="4F81BD" w:themeColor="accent1"/>
        </w:rPr>
        <w:t>L</w:t>
      </w:r>
      <w:r w:rsidR="008C482E" w:rsidRPr="008C482E">
        <w:rPr>
          <w:color w:val="4F81BD" w:themeColor="accent1"/>
          <w:lang w:val="sr-Cyrl-BA"/>
        </w:rPr>
        <w:t>)</w:t>
      </w:r>
      <w:r w:rsidR="004D2914">
        <w:rPr>
          <w:color w:val="4F81BD" w:themeColor="accent1"/>
          <w:lang w:val="sr-Cyrl-BA"/>
        </w:rPr>
        <w:t xml:space="preserve"> </w:t>
      </w:r>
      <w:r w:rsidRPr="00A30257">
        <w:rPr>
          <w:lang w:val="sr-Cyrl-BA"/>
        </w:rPr>
        <w:t xml:space="preserve">1 и 3 </w:t>
      </w:r>
      <w:r>
        <w:t>h</w:t>
      </w:r>
      <w:r w:rsidRPr="00A30257">
        <w:rPr>
          <w:lang w:val="sr-Cyrl-BA"/>
        </w:rPr>
        <w:t xml:space="preserve"> на 37º</w:t>
      </w:r>
      <w:r w:rsidRPr="00907346">
        <w:t>C</w:t>
      </w:r>
      <w:r w:rsidRPr="00A30257">
        <w:rPr>
          <w:lang w:val="sr-Cyrl-BA"/>
        </w:rPr>
        <w:t xml:space="preserve">. </w:t>
      </w:r>
      <w:r w:rsidR="009A38C0" w:rsidRPr="009A38C0">
        <w:rPr>
          <w:lang w:val="sr-Cyrl-BA"/>
        </w:rPr>
        <w:t xml:space="preserve">Нативном електрофорезом су у контролним и узорцима третираним са </w:t>
      </w:r>
      <w:r w:rsidR="00D15821" w:rsidRPr="00834A9D">
        <w:rPr>
          <w:lang w:val="sr-Cyrl-BA"/>
        </w:rPr>
        <w:t>тербутилазином</w:t>
      </w:r>
      <w:r w:rsidR="009A38C0" w:rsidRPr="00834A9D">
        <w:rPr>
          <w:lang w:val="sr-Cyrl-BA"/>
        </w:rPr>
        <w:t xml:space="preserve"> д</w:t>
      </w:r>
      <w:r w:rsidR="009A38C0" w:rsidRPr="009A38C0">
        <w:rPr>
          <w:lang w:val="sr-Cyrl-BA"/>
        </w:rPr>
        <w:t xml:space="preserve">етектоване двије </w:t>
      </w:r>
      <w:r>
        <w:t>SOD</w:t>
      </w:r>
      <w:r w:rsidR="009A38C0" w:rsidRPr="009A38C0">
        <w:rPr>
          <w:lang w:val="sr-Cyrl-BA"/>
        </w:rPr>
        <w:t xml:space="preserve">1 изоформе и једна </w:t>
      </w:r>
      <w:r w:rsidRPr="00476438">
        <w:t>CAT</w:t>
      </w:r>
      <w:r w:rsidR="009A38C0" w:rsidRPr="009A38C0">
        <w:rPr>
          <w:lang w:val="sr-Cyrl-BA"/>
        </w:rPr>
        <w:t xml:space="preserve"> изоформа. Третман са пестицидом није довео до промјена у изоензимским профилима </w:t>
      </w:r>
      <w:r>
        <w:t>SOD</w:t>
      </w:r>
      <w:r w:rsidR="009A38C0" w:rsidRPr="009A38C0">
        <w:rPr>
          <w:lang w:val="sr-Cyrl-BA"/>
        </w:rPr>
        <w:t xml:space="preserve">1 и </w:t>
      </w:r>
      <w:r w:rsidRPr="00476438">
        <w:t>CAT</w:t>
      </w:r>
      <w:r w:rsidR="009A38C0" w:rsidRPr="009A38C0">
        <w:rPr>
          <w:lang w:val="sr-Cyrl-BA"/>
        </w:rPr>
        <w:t xml:space="preserve"> али је изазвао промјену њихове активности. </w:t>
      </w:r>
      <w:r w:rsidR="00D15821" w:rsidRPr="00834A9D">
        <w:rPr>
          <w:lang w:val="sr-Cyrl-BA"/>
        </w:rPr>
        <w:t>Тербутилазин</w:t>
      </w:r>
      <w:r w:rsidR="004D2914">
        <w:rPr>
          <w:lang w:val="sr-Cyrl-BA"/>
        </w:rPr>
        <w:t xml:space="preserve"> </w:t>
      </w:r>
      <w:r w:rsidR="00C41DEC">
        <w:rPr>
          <w:lang w:val="sr-Cyrl-BA"/>
        </w:rPr>
        <w:t xml:space="preserve">при ниским концентрацијама </w:t>
      </w:r>
      <w:r w:rsidR="009A38C0" w:rsidRPr="009A38C0">
        <w:rPr>
          <w:lang w:val="sr-Cyrl-BA"/>
        </w:rPr>
        <w:t xml:space="preserve">је индуковао значајно повећање укупне </w:t>
      </w:r>
      <w:r>
        <w:t>SOD</w:t>
      </w:r>
      <w:r w:rsidR="009A38C0" w:rsidRPr="009A38C0">
        <w:rPr>
          <w:lang w:val="sr-Cyrl-BA"/>
        </w:rPr>
        <w:t xml:space="preserve">1 активности и смањење </w:t>
      </w:r>
      <w:r w:rsidRPr="00476438">
        <w:t>GST</w:t>
      </w:r>
      <w:r w:rsidR="009A38C0" w:rsidRPr="009A38C0">
        <w:rPr>
          <w:lang w:val="sr-Cyrl-BA"/>
        </w:rPr>
        <w:t xml:space="preserve"> активности у узорцима еритроцита инкубираним 1 и 3 </w:t>
      </w:r>
      <w:r>
        <w:t>h</w:t>
      </w:r>
      <w:r w:rsidR="009A38C0" w:rsidRPr="009A38C0">
        <w:rPr>
          <w:lang w:val="sr-Cyrl-BA"/>
        </w:rPr>
        <w:t xml:space="preserve">. С друге стране, највеће повећање </w:t>
      </w:r>
      <w:r w:rsidRPr="00476438">
        <w:t>CAT</w:t>
      </w:r>
      <w:r w:rsidR="009A38C0" w:rsidRPr="009A38C0">
        <w:rPr>
          <w:lang w:val="sr-Cyrl-BA"/>
        </w:rPr>
        <w:t xml:space="preserve"> активности је измјерено у узорцима третираним 1 </w:t>
      </w:r>
      <w:r>
        <w:t>h</w:t>
      </w:r>
      <w:r w:rsidR="009A38C0" w:rsidRPr="009A38C0">
        <w:rPr>
          <w:lang w:val="sr-Cyrl-BA"/>
        </w:rPr>
        <w:t xml:space="preserve"> са</w:t>
      </w:r>
      <w:r w:rsidR="004D2914">
        <w:rPr>
          <w:lang w:val="sr-Cyrl-BA"/>
        </w:rPr>
        <w:t xml:space="preserve"> </w:t>
      </w:r>
      <w:r w:rsidR="00C41DEC">
        <w:rPr>
          <w:lang w:val="sr-Cyrl-BA"/>
        </w:rPr>
        <w:t xml:space="preserve">високим концентрацијама </w:t>
      </w:r>
      <w:r w:rsidR="009A38C0" w:rsidRPr="009A38C0">
        <w:rPr>
          <w:lang w:val="sr-Cyrl-BA"/>
        </w:rPr>
        <w:t>тер</w:t>
      </w:r>
      <w:r>
        <w:rPr>
          <w:lang w:val="sr-Cyrl-BA"/>
        </w:rPr>
        <w:t>б</w:t>
      </w:r>
      <w:r w:rsidR="009A38C0" w:rsidRPr="009A38C0">
        <w:rPr>
          <w:lang w:val="sr-Cyrl-BA"/>
        </w:rPr>
        <w:t xml:space="preserve">утилазина. </w:t>
      </w:r>
      <w:r w:rsidR="00D15821" w:rsidRPr="00834A9D">
        <w:rPr>
          <w:lang w:val="sr-Cyrl-BA"/>
        </w:rPr>
        <w:t>Тербутилазин</w:t>
      </w:r>
      <w:r w:rsidR="009A38C0" w:rsidRPr="009A38C0">
        <w:rPr>
          <w:lang w:val="sr-Cyrl-BA"/>
        </w:rPr>
        <w:t xml:space="preserve"> индукује промјене у антиоксидативном систему еритроцита при чему одговор појединачних ензимских антиоксиданата зависи од концентрације пестицида и времена инку</w:t>
      </w:r>
      <w:r w:rsidR="00B4114D">
        <w:rPr>
          <w:lang w:val="sr-Cyrl-BA"/>
        </w:rPr>
        <w:t>б</w:t>
      </w:r>
      <w:r w:rsidR="009A38C0" w:rsidRPr="009A38C0">
        <w:rPr>
          <w:lang w:val="sr-Cyrl-BA"/>
        </w:rPr>
        <w:t>ације.</w:t>
      </w:r>
    </w:p>
    <w:p w:rsidR="002A2414" w:rsidRPr="001555E3" w:rsidRDefault="002A2414" w:rsidP="00834A9D">
      <w:pPr>
        <w:spacing w:line="360" w:lineRule="auto"/>
        <w:jc w:val="center"/>
        <w:rPr>
          <w:lang w:val="sr-Cyrl-BA"/>
        </w:rPr>
      </w:pPr>
    </w:p>
    <w:p w:rsidR="002A2414" w:rsidRPr="001555E3" w:rsidRDefault="002A2414" w:rsidP="00834A9D">
      <w:pPr>
        <w:spacing w:line="360" w:lineRule="auto"/>
        <w:jc w:val="center"/>
        <w:rPr>
          <w:lang w:val="sr-Cyrl-BA"/>
        </w:rPr>
      </w:pPr>
    </w:p>
    <w:p w:rsidR="002A2414" w:rsidRPr="001555E3" w:rsidRDefault="002A2414" w:rsidP="00834A9D">
      <w:pPr>
        <w:spacing w:line="360" w:lineRule="auto"/>
        <w:jc w:val="center"/>
        <w:rPr>
          <w:lang w:val="sr-Cyrl-BA"/>
        </w:rPr>
      </w:pPr>
    </w:p>
    <w:p w:rsidR="002A2414" w:rsidRPr="001555E3" w:rsidRDefault="002A2414" w:rsidP="00834A9D">
      <w:pPr>
        <w:spacing w:line="360" w:lineRule="auto"/>
        <w:jc w:val="center"/>
        <w:rPr>
          <w:lang w:val="sr-Cyrl-BA"/>
        </w:rPr>
      </w:pPr>
    </w:p>
    <w:p w:rsidR="002A2414" w:rsidRDefault="002A2414" w:rsidP="00834A9D">
      <w:pPr>
        <w:spacing w:line="360" w:lineRule="auto"/>
        <w:jc w:val="center"/>
        <w:rPr>
          <w:lang w:val="sr-Latn-BA"/>
        </w:rPr>
      </w:pPr>
    </w:p>
    <w:p w:rsidR="00452545" w:rsidRDefault="00452545" w:rsidP="00834A9D">
      <w:pPr>
        <w:spacing w:line="360" w:lineRule="auto"/>
        <w:jc w:val="center"/>
        <w:rPr>
          <w:lang w:val="sr-Latn-BA"/>
        </w:rPr>
      </w:pPr>
    </w:p>
    <w:p w:rsidR="00F91B01" w:rsidRDefault="00BB5DDB" w:rsidP="00834A9D">
      <w:pPr>
        <w:spacing w:line="360" w:lineRule="auto"/>
        <w:jc w:val="center"/>
        <w:rPr>
          <w:lang w:val="sr-Cyrl-BA"/>
        </w:rPr>
      </w:pPr>
      <w:r w:rsidRPr="00BB5DDB">
        <w:lastRenderedPageBreak/>
        <w:t>REFERENCES</w:t>
      </w:r>
    </w:p>
    <w:p w:rsidR="00BB5DDB" w:rsidRPr="00BB5DDB" w:rsidRDefault="00BB5DDB" w:rsidP="00834A9D">
      <w:pPr>
        <w:spacing w:line="360" w:lineRule="auto"/>
        <w:jc w:val="center"/>
        <w:rPr>
          <w:lang w:val="sr-Cyrl-BA"/>
        </w:rPr>
      </w:pPr>
    </w:p>
    <w:p w:rsidR="001012AF" w:rsidRDefault="00A81780">
      <w:pPr>
        <w:spacing w:line="360" w:lineRule="auto"/>
        <w:ind w:left="360"/>
      </w:pPr>
      <w:r>
        <w:t>1.</w:t>
      </w:r>
      <w:r w:rsidRPr="00D72F5E">
        <w:t xml:space="preserve"> PAN Pesticides Database - Chemicals.</w:t>
      </w:r>
    </w:p>
    <w:p w:rsidR="00A81780" w:rsidRDefault="00A81780">
      <w:pPr>
        <w:spacing w:line="360" w:lineRule="auto"/>
        <w:ind w:left="360"/>
      </w:pPr>
      <w:r w:rsidRPr="00D72F5E">
        <w:rPr>
          <w:rFonts w:ascii="Verdana" w:hAnsi="Verdana"/>
          <w:sz w:val="15"/>
          <w:szCs w:val="15"/>
          <w:shd w:val="clear" w:color="auto" w:fill="FFFFFF"/>
        </w:rPr>
        <w:t xml:space="preserve">  </w:t>
      </w:r>
      <w:r w:rsidRPr="00D72F5E">
        <w:rPr>
          <w:shd w:val="clear" w:color="auto" w:fill="FFFFFF"/>
        </w:rPr>
        <w:t>(</w:t>
      </w:r>
      <w:hyperlink r:id="rId16" w:history="1">
        <w:r w:rsidRPr="00D72F5E">
          <w:rPr>
            <w:rStyle w:val="Hyperlink"/>
            <w:color w:val="auto"/>
          </w:rPr>
          <w:t>http://www.pesticideinfo.org/Search_Chemicals.jsp</w:t>
        </w:r>
      </w:hyperlink>
      <w:r w:rsidRPr="00D72F5E">
        <w:t>) (</w:t>
      </w:r>
      <w:r w:rsidR="001D67C0" w:rsidRPr="00D72F5E">
        <w:t>Accessed</w:t>
      </w:r>
      <w:r w:rsidRPr="00D72F5E">
        <w:t xml:space="preserve"> 20 December 2017)</w:t>
      </w:r>
    </w:p>
    <w:p w:rsidR="001012AF" w:rsidRDefault="00A81780" w:rsidP="009C0A3A">
      <w:pPr>
        <w:spacing w:line="360" w:lineRule="auto"/>
        <w:ind w:left="426"/>
        <w:rPr>
          <w:color w:val="000000"/>
        </w:rPr>
      </w:pPr>
      <w:r w:rsidRPr="001F7F4A">
        <w:t>2.</w:t>
      </w:r>
      <w:r w:rsidR="00F52A94">
        <w:rPr>
          <w:lang w:val="sr-Cyrl-BA"/>
        </w:rPr>
        <w:t xml:space="preserve"> </w:t>
      </w:r>
      <w:r w:rsidRPr="001F7F4A">
        <w:rPr>
          <w:color w:val="000000"/>
        </w:rPr>
        <w:t>Pesticide Reregistration Status</w:t>
      </w:r>
    </w:p>
    <w:p w:rsidR="00A81780" w:rsidRDefault="00A81780" w:rsidP="009C0A3A">
      <w:pPr>
        <w:spacing w:line="360" w:lineRule="auto"/>
        <w:ind w:left="426"/>
      </w:pPr>
      <w:r>
        <w:t>(</w:t>
      </w:r>
      <w:hyperlink r:id="rId17" w:history="1">
        <w:r w:rsidR="00007BCC" w:rsidRPr="00C53D4D">
          <w:rPr>
            <w:rStyle w:val="Hyperlink"/>
          </w:rPr>
          <w:t>https://archive.epa.gov/pesticides/reregistration/web/html/status.html</w:t>
        </w:r>
      </w:hyperlink>
      <w:r>
        <w:t>)</w:t>
      </w:r>
      <w:r w:rsidRPr="0097021E">
        <w:t>.</w:t>
      </w:r>
    </w:p>
    <w:p w:rsidR="001012AF" w:rsidRDefault="00A81780" w:rsidP="001F7F4A">
      <w:pPr>
        <w:spacing w:line="360" w:lineRule="auto"/>
        <w:ind w:left="360"/>
      </w:pPr>
      <w:r>
        <w:t>3.</w:t>
      </w:r>
      <w:r w:rsidRPr="00D72F5E">
        <w:t xml:space="preserve"> F. M. El-Demerdash, </w:t>
      </w:r>
      <w:r w:rsidRPr="00D72F5E">
        <w:rPr>
          <w:i/>
        </w:rPr>
        <w:t>Toxicol. In Vitro</w:t>
      </w:r>
      <w:r w:rsidR="00F52A94">
        <w:rPr>
          <w:i/>
          <w:lang w:val="sr-Cyrl-BA"/>
        </w:rPr>
        <w:t xml:space="preserve"> </w:t>
      </w:r>
      <w:r w:rsidRPr="00D72F5E">
        <w:rPr>
          <w:b/>
        </w:rPr>
        <w:t>21</w:t>
      </w:r>
      <w:r w:rsidRPr="00D72F5E">
        <w:t xml:space="preserve"> (2007) 392</w:t>
      </w:r>
    </w:p>
    <w:p w:rsidR="00A81780" w:rsidRDefault="00A81780" w:rsidP="001F7F4A">
      <w:pPr>
        <w:spacing w:line="360" w:lineRule="auto"/>
        <w:ind w:left="360"/>
        <w:rPr>
          <w:lang w:val="sr-Latn-BA"/>
        </w:rPr>
      </w:pPr>
      <w:r w:rsidRPr="00D72F5E">
        <w:rPr>
          <w:lang w:val="sr-Latn-BA"/>
        </w:rPr>
        <w:t>(</w:t>
      </w:r>
      <w:hyperlink r:id="rId18" w:tgtFrame="_blank" w:tooltip="Persistent link using digital object identifier" w:history="1">
        <w:r w:rsidRPr="00D72F5E">
          <w:rPr>
            <w:rStyle w:val="Hyperlink"/>
            <w:color w:val="auto"/>
            <w:lang w:val="sr-Latn-BA"/>
          </w:rPr>
          <w:t>https://doi.org/10.1016/j.tiv.2006.09.019</w:t>
        </w:r>
      </w:hyperlink>
      <w:r w:rsidRPr="00D72F5E">
        <w:rPr>
          <w:lang w:val="sr-Latn-BA"/>
        </w:rPr>
        <w:t>)</w:t>
      </w:r>
    </w:p>
    <w:p w:rsidR="001012AF" w:rsidRDefault="00A81780" w:rsidP="00A81780">
      <w:pPr>
        <w:spacing w:line="360" w:lineRule="auto"/>
        <w:ind w:left="426"/>
        <w:rPr>
          <w:lang w:val="sr-Latn-BA"/>
        </w:rPr>
      </w:pPr>
      <w:r>
        <w:rPr>
          <w:lang w:val="sr-Latn-BA"/>
        </w:rPr>
        <w:t>4.</w:t>
      </w:r>
      <w:r w:rsidRPr="00D72F5E">
        <w:rPr>
          <w:lang w:val="sr-Latn-BA"/>
        </w:rPr>
        <w:t xml:space="preserve"> R. Saxena, P. Garg, D. K. Jain,</w:t>
      </w:r>
      <w:r w:rsidR="00F52A94">
        <w:rPr>
          <w:lang w:val="sr-Cyrl-BA"/>
        </w:rPr>
        <w:t xml:space="preserve"> </w:t>
      </w:r>
      <w:r w:rsidRPr="00D72F5E">
        <w:rPr>
          <w:i/>
          <w:lang w:val="sr-Latn-BA"/>
        </w:rPr>
        <w:t>Toxicol. Int.</w:t>
      </w:r>
      <w:r w:rsidR="00F52A94">
        <w:rPr>
          <w:i/>
          <w:lang w:val="sr-Cyrl-BA"/>
        </w:rPr>
        <w:t xml:space="preserve"> </w:t>
      </w:r>
      <w:r w:rsidRPr="00D72F5E">
        <w:rPr>
          <w:b/>
          <w:lang w:val="sr-Latn-BA"/>
        </w:rPr>
        <w:t>18</w:t>
      </w:r>
      <w:r w:rsidRPr="00D72F5E">
        <w:rPr>
          <w:lang w:val="sr-Latn-BA"/>
        </w:rPr>
        <w:t xml:space="preserve"> (2011) 73</w:t>
      </w:r>
    </w:p>
    <w:p w:rsidR="00A81780" w:rsidRDefault="00A81780" w:rsidP="00A81780">
      <w:pPr>
        <w:spacing w:line="360" w:lineRule="auto"/>
        <w:ind w:left="426"/>
      </w:pPr>
      <w:r w:rsidRPr="00243AA2">
        <w:t>(https://doi.org/</w:t>
      </w:r>
      <w:hyperlink r:id="rId19" w:tgtFrame="pmc_ext" w:history="1">
        <w:r w:rsidRPr="008C482E">
          <w:rPr>
            <w:rStyle w:val="Hyperlink"/>
            <w:color w:val="642A8F"/>
            <w:shd w:val="clear" w:color="auto" w:fill="FFFFFF"/>
          </w:rPr>
          <w:t>10.4103/0971-6580.75871</w:t>
        </w:r>
      </w:hyperlink>
      <w:r w:rsidRPr="00243AA2">
        <w:t>)</w:t>
      </w:r>
    </w:p>
    <w:p w:rsidR="001012AF" w:rsidRDefault="00A81780" w:rsidP="00A81780">
      <w:pPr>
        <w:spacing w:line="360" w:lineRule="auto"/>
        <w:ind w:left="360"/>
      </w:pPr>
      <w:r>
        <w:t>5.</w:t>
      </w:r>
      <w:r w:rsidRPr="00D72F5E">
        <w:t xml:space="preserve"> J. S. </w:t>
      </w:r>
      <w:r w:rsidR="001D67C0">
        <w:t xml:space="preserve">Bhatti, </w:t>
      </w:r>
      <w:r w:rsidRPr="00D72F5E">
        <w:t xml:space="preserve">I. P. </w:t>
      </w:r>
      <w:r w:rsidR="001D67C0">
        <w:t xml:space="preserve">Sidhu, </w:t>
      </w:r>
      <w:r w:rsidRPr="00D72F5E">
        <w:t>G. K. Bhatti,</w:t>
      </w:r>
      <w:r w:rsidR="00F52A94">
        <w:rPr>
          <w:lang w:val="sr-Cyrl-BA"/>
        </w:rPr>
        <w:t xml:space="preserve"> </w:t>
      </w:r>
      <w:r w:rsidRPr="00D72F5E">
        <w:rPr>
          <w:i/>
        </w:rPr>
        <w:t>Mol. Cell.</w:t>
      </w:r>
      <w:r w:rsidR="00F52A94">
        <w:rPr>
          <w:i/>
          <w:lang w:val="sr-Cyrl-BA"/>
        </w:rPr>
        <w:t xml:space="preserve"> </w:t>
      </w:r>
      <w:r w:rsidRPr="00D72F5E">
        <w:rPr>
          <w:i/>
        </w:rPr>
        <w:t>Biochem.</w:t>
      </w:r>
      <w:r w:rsidR="00F52A94">
        <w:rPr>
          <w:i/>
          <w:lang w:val="sr-Cyrl-BA"/>
        </w:rPr>
        <w:t xml:space="preserve"> </w:t>
      </w:r>
      <w:r w:rsidRPr="00D72F5E">
        <w:rPr>
          <w:b/>
        </w:rPr>
        <w:t>353</w:t>
      </w:r>
      <w:r w:rsidRPr="00D72F5E">
        <w:t xml:space="preserve"> (2011) 139</w:t>
      </w:r>
    </w:p>
    <w:p w:rsidR="00A81780" w:rsidRDefault="00A81780" w:rsidP="00A81780">
      <w:pPr>
        <w:spacing w:line="360" w:lineRule="auto"/>
        <w:ind w:left="360"/>
        <w:rPr>
          <w:spacing w:val="3"/>
          <w:shd w:val="clear" w:color="auto" w:fill="FCFCFC"/>
          <w:lang w:val="bs-Latn-BA"/>
        </w:rPr>
      </w:pPr>
      <w:r w:rsidRPr="00D72F5E">
        <w:rPr>
          <w:spacing w:val="3"/>
          <w:shd w:val="clear" w:color="auto" w:fill="FCFCFC"/>
          <w:lang w:val="sr-Latn-BA"/>
        </w:rPr>
        <w:t>(</w:t>
      </w:r>
      <w:hyperlink r:id="rId20" w:history="1">
        <w:r w:rsidRPr="00D72F5E">
          <w:rPr>
            <w:rStyle w:val="Hyperlink"/>
            <w:color w:val="auto"/>
            <w:spacing w:val="3"/>
            <w:shd w:val="clear" w:color="auto" w:fill="FCFCFC"/>
            <w:lang w:val="sr-Latn-BA"/>
          </w:rPr>
          <w:t>https://doi.org/10.1007/s11010-011-0780-y</w:t>
        </w:r>
      </w:hyperlink>
      <w:r w:rsidRPr="00D72F5E">
        <w:rPr>
          <w:spacing w:val="3"/>
          <w:shd w:val="clear" w:color="auto" w:fill="FCFCFC"/>
          <w:lang w:val="bs-Latn-BA"/>
        </w:rPr>
        <w:t>)</w:t>
      </w:r>
    </w:p>
    <w:p w:rsidR="00A81780" w:rsidRDefault="00A81780" w:rsidP="00A81780">
      <w:pPr>
        <w:spacing w:line="360" w:lineRule="auto"/>
        <w:ind w:left="360"/>
        <w:rPr>
          <w:lang w:val="bs-Latn-BA"/>
        </w:rPr>
      </w:pPr>
      <w:r>
        <w:rPr>
          <w:lang w:val="bs-Latn-BA"/>
        </w:rPr>
        <w:t>6.</w:t>
      </w:r>
      <w:r w:rsidR="00F52A94">
        <w:rPr>
          <w:lang w:val="sr-Cyrl-BA"/>
        </w:rPr>
        <w:t xml:space="preserve"> </w:t>
      </w:r>
      <w:r w:rsidRPr="00D72F5E">
        <w:t>D</w:t>
      </w:r>
      <w:r w:rsidRPr="008C482E">
        <w:rPr>
          <w:lang w:val="bs-Latn-BA"/>
        </w:rPr>
        <w:t xml:space="preserve">. </w:t>
      </w:r>
      <w:r w:rsidRPr="00D72F5E">
        <w:t>Spoljaric</w:t>
      </w:r>
      <w:r w:rsidRPr="008C482E">
        <w:rPr>
          <w:lang w:val="bs-Latn-BA"/>
        </w:rPr>
        <w:t>,</w:t>
      </w:r>
      <w:r w:rsidR="00F52A94">
        <w:rPr>
          <w:lang w:val="sr-Cyrl-BA"/>
        </w:rPr>
        <w:t xml:space="preserve"> </w:t>
      </w:r>
      <w:r w:rsidRPr="00D72F5E">
        <w:t>A</w:t>
      </w:r>
      <w:r w:rsidRPr="008C482E">
        <w:rPr>
          <w:lang w:val="bs-Latn-BA"/>
        </w:rPr>
        <w:t xml:space="preserve">. </w:t>
      </w:r>
      <w:r w:rsidRPr="00D72F5E">
        <w:t>Cipak</w:t>
      </w:r>
      <w:r w:rsidRPr="008C482E">
        <w:rPr>
          <w:lang w:val="bs-Latn-BA"/>
        </w:rPr>
        <w:t>,</w:t>
      </w:r>
      <w:r w:rsidR="00F52A94">
        <w:rPr>
          <w:lang w:val="sr-Cyrl-BA"/>
        </w:rPr>
        <w:t xml:space="preserve"> </w:t>
      </w:r>
      <w:r w:rsidRPr="00D72F5E">
        <w:t>J</w:t>
      </w:r>
      <w:r w:rsidRPr="008C482E">
        <w:rPr>
          <w:lang w:val="bs-Latn-BA"/>
        </w:rPr>
        <w:t xml:space="preserve">. </w:t>
      </w:r>
      <w:r w:rsidRPr="00D72F5E">
        <w:t>Horvatic</w:t>
      </w:r>
      <w:r w:rsidRPr="008C482E">
        <w:rPr>
          <w:lang w:val="bs-Latn-BA"/>
        </w:rPr>
        <w:t xml:space="preserve">, </w:t>
      </w:r>
      <w:r w:rsidRPr="00D72F5E">
        <w:t>L</w:t>
      </w:r>
      <w:r w:rsidRPr="008C482E">
        <w:rPr>
          <w:lang w:val="bs-Latn-BA"/>
        </w:rPr>
        <w:t xml:space="preserve">. </w:t>
      </w:r>
      <w:r w:rsidRPr="00D72F5E">
        <w:t>Andrisic</w:t>
      </w:r>
      <w:r w:rsidRPr="008C482E">
        <w:rPr>
          <w:lang w:val="bs-Latn-BA"/>
        </w:rPr>
        <w:t>,</w:t>
      </w:r>
      <w:r w:rsidR="00F52A94">
        <w:rPr>
          <w:lang w:val="sr-Cyrl-BA"/>
        </w:rPr>
        <w:t xml:space="preserve"> </w:t>
      </w:r>
      <w:r w:rsidRPr="00D72F5E">
        <w:t>G</w:t>
      </w:r>
      <w:r w:rsidRPr="008C482E">
        <w:rPr>
          <w:lang w:val="bs-Latn-BA"/>
        </w:rPr>
        <w:t xml:space="preserve">. </w:t>
      </w:r>
      <w:r w:rsidRPr="00D72F5E">
        <w:t>Waeg</w:t>
      </w:r>
      <w:r w:rsidRPr="008C482E">
        <w:rPr>
          <w:lang w:val="bs-Latn-BA"/>
        </w:rPr>
        <w:t>,</w:t>
      </w:r>
      <w:r w:rsidR="00F52A94">
        <w:rPr>
          <w:lang w:val="sr-Cyrl-BA"/>
        </w:rPr>
        <w:t xml:space="preserve"> </w:t>
      </w:r>
      <w:r w:rsidRPr="00D72F5E">
        <w:t>N</w:t>
      </w:r>
      <w:r w:rsidRPr="008C482E">
        <w:rPr>
          <w:lang w:val="bs-Latn-BA"/>
        </w:rPr>
        <w:t xml:space="preserve">. </w:t>
      </w:r>
      <w:r w:rsidRPr="00D72F5E">
        <w:t>Zarkovic</w:t>
      </w:r>
      <w:r w:rsidRPr="008C482E">
        <w:rPr>
          <w:lang w:val="bs-Latn-BA"/>
        </w:rPr>
        <w:t>,</w:t>
      </w:r>
      <w:r w:rsidR="00F52A94">
        <w:rPr>
          <w:lang w:val="sr-Cyrl-BA"/>
        </w:rPr>
        <w:t xml:space="preserve"> </w:t>
      </w:r>
      <w:r w:rsidRPr="00D72F5E">
        <w:t>M</w:t>
      </w:r>
      <w:r w:rsidRPr="008C482E">
        <w:rPr>
          <w:lang w:val="bs-Latn-BA"/>
        </w:rPr>
        <w:t>.</w:t>
      </w:r>
      <w:r w:rsidR="00F52A94">
        <w:rPr>
          <w:lang w:val="sr-Cyrl-BA"/>
        </w:rPr>
        <w:t xml:space="preserve"> </w:t>
      </w:r>
      <w:r w:rsidRPr="00D72F5E">
        <w:t>Jaganjac</w:t>
      </w:r>
      <w:r w:rsidRPr="008C482E">
        <w:rPr>
          <w:lang w:val="bs-Latn-BA"/>
        </w:rPr>
        <w:t>,</w:t>
      </w:r>
      <w:r w:rsidR="00F52A94">
        <w:rPr>
          <w:lang w:val="sr-Cyrl-BA"/>
        </w:rPr>
        <w:t xml:space="preserve"> </w:t>
      </w:r>
      <w:r w:rsidRPr="00D72F5E">
        <w:rPr>
          <w:i/>
        </w:rPr>
        <w:t>Aquat</w:t>
      </w:r>
      <w:r w:rsidRPr="008C482E">
        <w:rPr>
          <w:i/>
          <w:lang w:val="bs-Latn-BA"/>
        </w:rPr>
        <w:t>.</w:t>
      </w:r>
      <w:r w:rsidR="00F52A94">
        <w:rPr>
          <w:i/>
          <w:lang w:val="sr-Cyrl-BA"/>
        </w:rPr>
        <w:t xml:space="preserve"> </w:t>
      </w:r>
      <w:r w:rsidRPr="00D72F5E">
        <w:rPr>
          <w:i/>
        </w:rPr>
        <w:t>Toxicol</w:t>
      </w:r>
      <w:r w:rsidRPr="008C482E">
        <w:rPr>
          <w:i/>
          <w:lang w:val="bs-Latn-BA"/>
        </w:rPr>
        <w:t>.</w:t>
      </w:r>
      <w:r w:rsidR="00F52A94">
        <w:rPr>
          <w:i/>
          <w:lang w:val="sr-Cyrl-BA"/>
        </w:rPr>
        <w:t xml:space="preserve"> </w:t>
      </w:r>
      <w:r w:rsidRPr="008C482E">
        <w:rPr>
          <w:b/>
          <w:lang w:val="bs-Latn-BA"/>
        </w:rPr>
        <w:t>105</w:t>
      </w:r>
      <w:r w:rsidRPr="008C482E">
        <w:rPr>
          <w:lang w:val="bs-Latn-BA"/>
        </w:rPr>
        <w:t xml:space="preserve"> (2011) 552</w:t>
      </w:r>
      <w:r w:rsidR="00F52A94">
        <w:rPr>
          <w:lang w:val="sr-Cyrl-BA"/>
        </w:rPr>
        <w:t xml:space="preserve"> </w:t>
      </w:r>
      <w:r w:rsidRPr="008C482E">
        <w:rPr>
          <w:lang w:val="bs-Latn-BA"/>
        </w:rPr>
        <w:t>(</w:t>
      </w:r>
      <w:hyperlink r:id="rId21" w:tgtFrame="_blank" w:tooltip="Persistent link using digital object identifier" w:history="1">
        <w:r w:rsidRPr="00D72F5E">
          <w:rPr>
            <w:rStyle w:val="Hyperlink"/>
            <w:color w:val="auto"/>
            <w:lang w:val="bs-Latn-BA"/>
          </w:rPr>
          <w:t>https://doi.org/10.1016/j.aquatox.2011.08.007</w:t>
        </w:r>
      </w:hyperlink>
      <w:r w:rsidRPr="008C482E">
        <w:rPr>
          <w:lang w:val="bs-Latn-BA"/>
        </w:rPr>
        <w:t>)</w:t>
      </w:r>
    </w:p>
    <w:p w:rsidR="001012AF" w:rsidRDefault="00A81780" w:rsidP="00A81780">
      <w:pPr>
        <w:spacing w:line="360" w:lineRule="auto"/>
        <w:ind w:left="360"/>
      </w:pPr>
      <w:r>
        <w:t>7.</w:t>
      </w:r>
      <w:r w:rsidRPr="00D72F5E">
        <w:t xml:space="preserve"> European Food Safety Authority (EFSA). </w:t>
      </w:r>
      <w:r w:rsidRPr="00D72F5E">
        <w:rPr>
          <w:i/>
        </w:rPr>
        <w:t>EFSA J.</w:t>
      </w:r>
      <w:r w:rsidR="00F52A94">
        <w:rPr>
          <w:i/>
          <w:lang w:val="sr-Cyrl-BA"/>
        </w:rPr>
        <w:t xml:space="preserve"> </w:t>
      </w:r>
      <w:r w:rsidRPr="00D72F5E">
        <w:t>9 (2011) 1969</w:t>
      </w:r>
    </w:p>
    <w:p w:rsidR="00A81780" w:rsidRDefault="00A81780" w:rsidP="00A81780">
      <w:pPr>
        <w:spacing w:line="360" w:lineRule="auto"/>
        <w:ind w:left="360"/>
      </w:pPr>
      <w:r w:rsidRPr="00D72F5E">
        <w:t>(</w:t>
      </w:r>
      <w:hyperlink r:id="rId22" w:history="1">
        <w:r w:rsidRPr="00D72F5E">
          <w:rPr>
            <w:rStyle w:val="Hyperlink"/>
            <w:bCs/>
            <w:color w:val="auto"/>
          </w:rPr>
          <w:t>https://doi.org/10.2903/j.efsa.2011.1969</w:t>
        </w:r>
      </w:hyperlink>
      <w:r w:rsidRPr="00D72F5E">
        <w:t>)</w:t>
      </w:r>
    </w:p>
    <w:p w:rsidR="001012AF" w:rsidRDefault="00A81780" w:rsidP="00A81780">
      <w:pPr>
        <w:spacing w:line="360" w:lineRule="auto"/>
        <w:ind w:left="360"/>
        <w:rPr>
          <w:lang w:val="bs-Latn-BA"/>
        </w:rPr>
      </w:pPr>
      <w:r w:rsidRPr="00A81780">
        <w:rPr>
          <w:lang w:val="bs-Latn-BA"/>
        </w:rPr>
        <w:t xml:space="preserve">8. </w:t>
      </w:r>
      <w:r w:rsidR="0082738D" w:rsidRPr="002764CF">
        <w:t>J</w:t>
      </w:r>
      <w:r w:rsidRPr="00A81780">
        <w:rPr>
          <w:lang w:val="bs-Latn-BA"/>
        </w:rPr>
        <w:t xml:space="preserve">. </w:t>
      </w:r>
      <w:r w:rsidR="0082738D" w:rsidRPr="002764CF">
        <w:t>Velisek</w:t>
      </w:r>
      <w:r w:rsidRPr="00A81780">
        <w:rPr>
          <w:lang w:val="bs-Latn-BA"/>
        </w:rPr>
        <w:t>,</w:t>
      </w:r>
      <w:r w:rsidR="00F52A94">
        <w:rPr>
          <w:lang w:val="sr-Cyrl-BA"/>
        </w:rPr>
        <w:t xml:space="preserve"> </w:t>
      </w:r>
      <w:r w:rsidR="0082738D" w:rsidRPr="002764CF">
        <w:t>A</w:t>
      </w:r>
      <w:r w:rsidRPr="00A81780">
        <w:rPr>
          <w:lang w:val="bs-Latn-BA"/>
        </w:rPr>
        <w:t xml:space="preserve">. </w:t>
      </w:r>
      <w:r w:rsidR="0082738D" w:rsidRPr="002764CF">
        <w:t>Stara</w:t>
      </w:r>
      <w:r w:rsidRPr="00A81780">
        <w:rPr>
          <w:lang w:val="bs-Latn-BA"/>
        </w:rPr>
        <w:t xml:space="preserve">, </w:t>
      </w:r>
      <w:r w:rsidR="0082738D" w:rsidRPr="002764CF">
        <w:t>D</w:t>
      </w:r>
      <w:r w:rsidRPr="00A81780">
        <w:rPr>
          <w:lang w:val="bs-Latn-BA"/>
        </w:rPr>
        <w:t xml:space="preserve">. </w:t>
      </w:r>
      <w:r w:rsidR="0082738D" w:rsidRPr="002764CF">
        <w:t>Koutnik</w:t>
      </w:r>
      <w:r w:rsidRPr="00A81780">
        <w:rPr>
          <w:lang w:val="bs-Latn-BA"/>
        </w:rPr>
        <w:t xml:space="preserve">, </w:t>
      </w:r>
      <w:r w:rsidR="0082738D" w:rsidRPr="002764CF">
        <w:t>J</w:t>
      </w:r>
      <w:r w:rsidRPr="00A81780">
        <w:rPr>
          <w:lang w:val="bs-Latn-BA"/>
        </w:rPr>
        <w:t xml:space="preserve">. </w:t>
      </w:r>
      <w:r w:rsidR="0082738D" w:rsidRPr="002764CF">
        <w:t>Machova</w:t>
      </w:r>
      <w:r w:rsidRPr="00A81780">
        <w:rPr>
          <w:lang w:val="bs-Latn-BA"/>
        </w:rPr>
        <w:t xml:space="preserve">, </w:t>
      </w:r>
      <w:r w:rsidR="0082738D" w:rsidRPr="002764CF">
        <w:rPr>
          <w:i/>
        </w:rPr>
        <w:t>Biomed</w:t>
      </w:r>
      <w:r w:rsidR="00F52A94">
        <w:rPr>
          <w:i/>
          <w:lang w:val="sr-Cyrl-BA"/>
        </w:rPr>
        <w:t xml:space="preserve"> </w:t>
      </w:r>
      <w:r w:rsidR="0082738D" w:rsidRPr="002764CF">
        <w:rPr>
          <w:i/>
        </w:rPr>
        <w:t>Res</w:t>
      </w:r>
      <w:r w:rsidRPr="00A81780">
        <w:rPr>
          <w:i/>
          <w:lang w:val="bs-Latn-BA"/>
        </w:rPr>
        <w:t xml:space="preserve">. </w:t>
      </w:r>
      <w:r w:rsidRPr="00D72F5E">
        <w:rPr>
          <w:i/>
        </w:rPr>
        <w:t>Int</w:t>
      </w:r>
      <w:r w:rsidRPr="00A81780">
        <w:rPr>
          <w:i/>
          <w:lang w:val="bs-Latn-BA"/>
        </w:rPr>
        <w:t>.</w:t>
      </w:r>
      <w:r w:rsidRPr="00A81780">
        <w:rPr>
          <w:lang w:val="bs-Latn-BA"/>
        </w:rPr>
        <w:t xml:space="preserve"> 2014 (2014)</w:t>
      </w:r>
    </w:p>
    <w:p w:rsidR="00A81780" w:rsidRDefault="00A81780" w:rsidP="00A81780">
      <w:pPr>
        <w:spacing w:line="360" w:lineRule="auto"/>
        <w:ind w:left="360"/>
        <w:rPr>
          <w:lang w:val="bs-Latn-BA"/>
        </w:rPr>
      </w:pPr>
      <w:r w:rsidRPr="00A81780">
        <w:rPr>
          <w:lang w:val="bs-Latn-BA"/>
        </w:rPr>
        <w:t>(</w:t>
      </w:r>
      <w:hyperlink r:id="rId23" w:history="1">
        <w:r w:rsidRPr="00D72F5E">
          <w:rPr>
            <w:rStyle w:val="Hyperlink"/>
            <w:color w:val="auto"/>
            <w:bdr w:val="none" w:sz="0" w:space="0" w:color="auto" w:frame="1"/>
          </w:rPr>
          <w:t>http</w:t>
        </w:r>
        <w:r w:rsidRPr="00A81780">
          <w:rPr>
            <w:rStyle w:val="Hyperlink"/>
            <w:color w:val="auto"/>
            <w:bdr w:val="none" w:sz="0" w:space="0" w:color="auto" w:frame="1"/>
            <w:lang w:val="bs-Latn-BA"/>
          </w:rPr>
          <w:t>://</w:t>
        </w:r>
        <w:r w:rsidRPr="00D72F5E">
          <w:rPr>
            <w:rStyle w:val="Hyperlink"/>
            <w:color w:val="auto"/>
            <w:bdr w:val="none" w:sz="0" w:space="0" w:color="auto" w:frame="1"/>
          </w:rPr>
          <w:t>dx</w:t>
        </w:r>
        <w:r w:rsidRPr="00A81780">
          <w:rPr>
            <w:rStyle w:val="Hyperlink"/>
            <w:color w:val="auto"/>
            <w:bdr w:val="none" w:sz="0" w:space="0" w:color="auto" w:frame="1"/>
            <w:lang w:val="bs-Latn-BA"/>
          </w:rPr>
          <w:t>.</w:t>
        </w:r>
        <w:r w:rsidRPr="00D72F5E">
          <w:rPr>
            <w:rStyle w:val="Hyperlink"/>
            <w:color w:val="auto"/>
            <w:bdr w:val="none" w:sz="0" w:space="0" w:color="auto" w:frame="1"/>
          </w:rPr>
          <w:t>doi</w:t>
        </w:r>
        <w:r w:rsidRPr="00A81780">
          <w:rPr>
            <w:rStyle w:val="Hyperlink"/>
            <w:color w:val="auto"/>
            <w:bdr w:val="none" w:sz="0" w:space="0" w:color="auto" w:frame="1"/>
            <w:lang w:val="bs-Latn-BA"/>
          </w:rPr>
          <w:t>.</w:t>
        </w:r>
        <w:r w:rsidRPr="00D72F5E">
          <w:rPr>
            <w:rStyle w:val="Hyperlink"/>
            <w:color w:val="auto"/>
            <w:bdr w:val="none" w:sz="0" w:space="0" w:color="auto" w:frame="1"/>
          </w:rPr>
          <w:t>org</w:t>
        </w:r>
        <w:r w:rsidRPr="00A81780">
          <w:rPr>
            <w:rStyle w:val="Hyperlink"/>
            <w:color w:val="auto"/>
            <w:bdr w:val="none" w:sz="0" w:space="0" w:color="auto" w:frame="1"/>
            <w:lang w:val="bs-Latn-BA"/>
          </w:rPr>
          <w:t>/10.1155/2014/621304</w:t>
        </w:r>
      </w:hyperlink>
      <w:r w:rsidRPr="00A81780">
        <w:rPr>
          <w:lang w:val="bs-Latn-BA"/>
        </w:rPr>
        <w:t>)</w:t>
      </w:r>
    </w:p>
    <w:p w:rsidR="001012AF" w:rsidRDefault="00A81780" w:rsidP="00A81780">
      <w:pPr>
        <w:spacing w:line="360" w:lineRule="auto"/>
        <w:ind w:left="360"/>
      </w:pPr>
      <w:r w:rsidRPr="00A81780">
        <w:rPr>
          <w:lang w:val="bs-Latn-BA"/>
        </w:rPr>
        <w:t xml:space="preserve">9. </w:t>
      </w:r>
      <w:r w:rsidRPr="00D72F5E">
        <w:t>A</w:t>
      </w:r>
      <w:r w:rsidRPr="00A81780">
        <w:rPr>
          <w:lang w:val="bs-Latn-BA"/>
        </w:rPr>
        <w:t xml:space="preserve">. </w:t>
      </w:r>
      <w:r w:rsidRPr="00D72F5E">
        <w:t>Stara</w:t>
      </w:r>
      <w:r w:rsidRPr="00A81780">
        <w:rPr>
          <w:lang w:val="bs-Latn-BA"/>
        </w:rPr>
        <w:t xml:space="preserve">, </w:t>
      </w:r>
      <w:r w:rsidRPr="00D72F5E">
        <w:t>E</w:t>
      </w:r>
      <w:r w:rsidRPr="00A81780">
        <w:rPr>
          <w:lang w:val="bs-Latn-BA"/>
        </w:rPr>
        <w:t xml:space="preserve">. </w:t>
      </w:r>
      <w:r w:rsidRPr="00D72F5E">
        <w:t>Zuskova</w:t>
      </w:r>
      <w:r w:rsidRPr="00A81780">
        <w:rPr>
          <w:lang w:val="bs-Latn-BA"/>
        </w:rPr>
        <w:t xml:space="preserve">, </w:t>
      </w:r>
      <w:r w:rsidRPr="00D72F5E">
        <w:t>A</w:t>
      </w:r>
      <w:r w:rsidRPr="00A81780">
        <w:rPr>
          <w:lang w:val="bs-Latn-BA"/>
        </w:rPr>
        <w:t xml:space="preserve">. </w:t>
      </w:r>
      <w:r w:rsidRPr="00D72F5E">
        <w:t>Kouba</w:t>
      </w:r>
      <w:r w:rsidRPr="00A81780">
        <w:rPr>
          <w:lang w:val="bs-Latn-BA"/>
        </w:rPr>
        <w:t xml:space="preserve">, </w:t>
      </w:r>
      <w:r w:rsidRPr="00D72F5E">
        <w:t>J</w:t>
      </w:r>
      <w:r w:rsidRPr="00A81780">
        <w:rPr>
          <w:lang w:val="bs-Latn-BA"/>
        </w:rPr>
        <w:t xml:space="preserve">. </w:t>
      </w:r>
      <w:r w:rsidRPr="00D72F5E">
        <w:t>Velisek</w:t>
      </w:r>
      <w:r w:rsidRPr="00A81780">
        <w:rPr>
          <w:lang w:val="bs-Latn-BA"/>
        </w:rPr>
        <w:t>,</w:t>
      </w:r>
      <w:r w:rsidR="00F52A94">
        <w:rPr>
          <w:lang w:val="sr-Cyrl-BA"/>
        </w:rPr>
        <w:t xml:space="preserve"> </w:t>
      </w:r>
      <w:r w:rsidRPr="00D72F5E">
        <w:rPr>
          <w:i/>
        </w:rPr>
        <w:t>Sci</w:t>
      </w:r>
      <w:r w:rsidRPr="00A81780">
        <w:rPr>
          <w:i/>
          <w:lang w:val="bs-Latn-BA"/>
        </w:rPr>
        <w:t xml:space="preserve">. </w:t>
      </w:r>
      <w:r w:rsidRPr="00D72F5E">
        <w:rPr>
          <w:i/>
        </w:rPr>
        <w:t>Total Environ.</w:t>
      </w:r>
      <w:r w:rsidR="00F52A94">
        <w:rPr>
          <w:i/>
          <w:lang w:val="sr-Cyrl-BA"/>
        </w:rPr>
        <w:t xml:space="preserve"> </w:t>
      </w:r>
      <w:r w:rsidRPr="00D72F5E">
        <w:rPr>
          <w:b/>
        </w:rPr>
        <w:t>566-567</w:t>
      </w:r>
      <w:r w:rsidRPr="00D72F5E">
        <w:t xml:space="preserve"> (2016) 733</w:t>
      </w:r>
    </w:p>
    <w:p w:rsidR="00A81780" w:rsidRDefault="00A81780" w:rsidP="00A81780">
      <w:pPr>
        <w:spacing w:line="360" w:lineRule="auto"/>
        <w:ind w:left="360"/>
        <w:rPr>
          <w:lang w:val="sr-Latn-BA"/>
        </w:rPr>
      </w:pPr>
      <w:r w:rsidRPr="00D72F5E">
        <w:rPr>
          <w:lang w:val="sr-Latn-BA"/>
        </w:rPr>
        <w:t>(</w:t>
      </w:r>
      <w:hyperlink r:id="rId24" w:tgtFrame="_blank" w:tooltip="Persistent link using digital object identifier" w:history="1">
        <w:r w:rsidRPr="00D72F5E">
          <w:rPr>
            <w:rStyle w:val="Hyperlink"/>
            <w:color w:val="auto"/>
            <w:lang w:val="sr-Latn-BA"/>
          </w:rPr>
          <w:t>https://doi.org/10.1016/j.scitotenv.2016.05.113</w:t>
        </w:r>
      </w:hyperlink>
      <w:r w:rsidRPr="00D72F5E">
        <w:rPr>
          <w:lang w:val="sr-Latn-BA"/>
        </w:rPr>
        <w:t>)</w:t>
      </w:r>
    </w:p>
    <w:p w:rsidR="00A81780" w:rsidRDefault="00A81780" w:rsidP="00A81780">
      <w:pPr>
        <w:spacing w:line="360" w:lineRule="auto"/>
        <w:ind w:left="426"/>
        <w:rPr>
          <w:lang w:val="sr-Latn-BA"/>
        </w:rPr>
      </w:pPr>
      <w:r>
        <w:t>10.</w:t>
      </w:r>
      <w:r w:rsidRPr="00D72F5E">
        <w:t xml:space="preserve"> A. Santi, C. Menezes, M. M. Duarte, J. </w:t>
      </w:r>
      <w:r w:rsidR="001D67C0">
        <w:t xml:space="preserve">Leitemperger, </w:t>
      </w:r>
      <w:r w:rsidRPr="00D72F5E">
        <w:t xml:space="preserve">T. </w:t>
      </w:r>
      <w:r w:rsidR="001D67C0">
        <w:t xml:space="preserve">Lópes, </w:t>
      </w:r>
      <w:r w:rsidRPr="00D72F5E">
        <w:t xml:space="preserve">V. L. Loro, </w:t>
      </w:r>
      <w:r w:rsidRPr="001012AF">
        <w:rPr>
          <w:i/>
        </w:rPr>
        <w:t>Interdiscip.</w:t>
      </w:r>
      <w:r w:rsidR="00F52A94">
        <w:rPr>
          <w:i/>
          <w:lang w:val="sr-Cyrl-BA"/>
        </w:rPr>
        <w:t xml:space="preserve"> </w:t>
      </w:r>
      <w:r w:rsidRPr="001012AF">
        <w:rPr>
          <w:i/>
        </w:rPr>
        <w:t>Toxicol</w:t>
      </w:r>
      <w:r w:rsidR="0082738D" w:rsidRPr="0082738D">
        <w:rPr>
          <w:i/>
          <w:lang w:val="sr-Cyrl-BA"/>
        </w:rPr>
        <w:t>.</w:t>
      </w:r>
      <w:r w:rsidR="00F52A94">
        <w:rPr>
          <w:i/>
          <w:lang w:val="sr-Cyrl-BA"/>
        </w:rPr>
        <w:t xml:space="preserve"> </w:t>
      </w:r>
      <w:r w:rsidR="0082738D" w:rsidRPr="0082738D">
        <w:rPr>
          <w:b/>
          <w:lang w:val="sr-Cyrl-BA"/>
        </w:rPr>
        <w:t xml:space="preserve">4 </w:t>
      </w:r>
      <w:r w:rsidR="0082738D" w:rsidRPr="0082738D">
        <w:rPr>
          <w:lang w:val="sr-Cyrl-BA"/>
        </w:rPr>
        <w:t>(2011) 149</w:t>
      </w:r>
      <w:r w:rsidR="00F52A94">
        <w:rPr>
          <w:lang w:val="sr-Cyrl-BA"/>
        </w:rPr>
        <w:t xml:space="preserve"> </w:t>
      </w:r>
      <w:r>
        <w:rPr>
          <w:lang w:val="sr-Latn-BA"/>
        </w:rPr>
        <w:t>(</w:t>
      </w:r>
      <w:hyperlink r:id="rId25" w:history="1">
        <w:r w:rsidRPr="00516298">
          <w:rPr>
            <w:rStyle w:val="Hyperlink"/>
            <w:lang w:val="sr-Latn-BA"/>
          </w:rPr>
          <w:t>https://doi.org/10.2478/v10102-011-0023-9</w:t>
        </w:r>
      </w:hyperlink>
      <w:r>
        <w:rPr>
          <w:lang w:val="sr-Latn-BA"/>
        </w:rPr>
        <w:t>)</w:t>
      </w:r>
    </w:p>
    <w:p w:rsidR="00A81780" w:rsidRDefault="00A81780" w:rsidP="00A81780">
      <w:pPr>
        <w:spacing w:line="360" w:lineRule="auto"/>
        <w:ind w:left="360"/>
        <w:rPr>
          <w:lang w:val="sr-Latn-BA"/>
        </w:rPr>
      </w:pPr>
      <w:r>
        <w:rPr>
          <w:lang w:val="sr-Latn-BA"/>
        </w:rPr>
        <w:t>11.</w:t>
      </w:r>
      <w:r w:rsidR="00F52A94">
        <w:rPr>
          <w:lang w:val="sr-Cyrl-BA"/>
        </w:rPr>
        <w:t xml:space="preserve"> </w:t>
      </w:r>
      <w:r w:rsidRPr="00D72F5E">
        <w:t>M</w:t>
      </w:r>
      <w:r w:rsidRPr="008C482E">
        <w:rPr>
          <w:lang w:val="sr-Latn-BA"/>
        </w:rPr>
        <w:t>.</w:t>
      </w:r>
      <w:r w:rsidR="00F52A94">
        <w:rPr>
          <w:lang w:val="sr-Cyrl-BA"/>
        </w:rPr>
        <w:t xml:space="preserve"> </w:t>
      </w:r>
      <w:r w:rsidRPr="00D72F5E">
        <w:t>Mladinic</w:t>
      </w:r>
      <w:r w:rsidRPr="008C482E">
        <w:rPr>
          <w:lang w:val="sr-Latn-BA"/>
        </w:rPr>
        <w:t xml:space="preserve">, </w:t>
      </w:r>
      <w:r w:rsidRPr="00D72F5E">
        <w:t>D</w:t>
      </w:r>
      <w:r w:rsidRPr="008C482E">
        <w:rPr>
          <w:lang w:val="sr-Latn-BA"/>
        </w:rPr>
        <w:t xml:space="preserve">. </w:t>
      </w:r>
      <w:r w:rsidRPr="00D72F5E">
        <w:t>Zeljezic</w:t>
      </w:r>
      <w:r w:rsidRPr="008C482E">
        <w:rPr>
          <w:lang w:val="sr-Latn-BA"/>
        </w:rPr>
        <w:t xml:space="preserve">, </w:t>
      </w:r>
      <w:r w:rsidRPr="00D72F5E">
        <w:t>S</w:t>
      </w:r>
      <w:r w:rsidRPr="008C482E">
        <w:rPr>
          <w:lang w:val="sr-Latn-BA"/>
        </w:rPr>
        <w:t xml:space="preserve">. </w:t>
      </w:r>
      <w:r w:rsidRPr="00D72F5E">
        <w:t>A</w:t>
      </w:r>
      <w:r w:rsidRPr="008C482E">
        <w:rPr>
          <w:lang w:val="sr-Latn-BA"/>
        </w:rPr>
        <w:t xml:space="preserve">. </w:t>
      </w:r>
      <w:r w:rsidRPr="00D72F5E">
        <w:t>Shaposhnikov</w:t>
      </w:r>
      <w:r w:rsidRPr="008C482E">
        <w:rPr>
          <w:lang w:val="sr-Latn-BA"/>
        </w:rPr>
        <w:t xml:space="preserve">, </w:t>
      </w:r>
      <w:r w:rsidRPr="00D72F5E">
        <w:t>A</w:t>
      </w:r>
      <w:r w:rsidRPr="008C482E">
        <w:rPr>
          <w:lang w:val="sr-Latn-BA"/>
        </w:rPr>
        <w:t xml:space="preserve">. </w:t>
      </w:r>
      <w:r w:rsidRPr="00D72F5E">
        <w:t>R</w:t>
      </w:r>
      <w:r w:rsidRPr="008C482E">
        <w:rPr>
          <w:lang w:val="sr-Latn-BA"/>
        </w:rPr>
        <w:t xml:space="preserve">. </w:t>
      </w:r>
      <w:r w:rsidRPr="00D72F5E">
        <w:t>Collins</w:t>
      </w:r>
      <w:r w:rsidRPr="008C482E">
        <w:rPr>
          <w:lang w:val="sr-Latn-BA"/>
        </w:rPr>
        <w:t xml:space="preserve">, </w:t>
      </w:r>
      <w:r w:rsidRPr="00D72F5E">
        <w:rPr>
          <w:i/>
        </w:rPr>
        <w:t>Toxicol</w:t>
      </w:r>
      <w:r w:rsidRPr="008C482E">
        <w:rPr>
          <w:i/>
          <w:lang w:val="sr-Latn-BA"/>
        </w:rPr>
        <w:t xml:space="preserve">. </w:t>
      </w:r>
      <w:r w:rsidRPr="00D72F5E">
        <w:rPr>
          <w:i/>
        </w:rPr>
        <w:t>Lett</w:t>
      </w:r>
      <w:r w:rsidRPr="008C482E">
        <w:rPr>
          <w:i/>
          <w:lang w:val="sr-Latn-BA"/>
        </w:rPr>
        <w:t>.</w:t>
      </w:r>
      <w:r w:rsidR="00F52A94">
        <w:rPr>
          <w:i/>
          <w:lang w:val="sr-Cyrl-BA"/>
        </w:rPr>
        <w:t xml:space="preserve"> </w:t>
      </w:r>
      <w:r w:rsidRPr="008C482E">
        <w:rPr>
          <w:b/>
          <w:lang w:val="sr-Latn-BA"/>
        </w:rPr>
        <w:t>211</w:t>
      </w:r>
      <w:r w:rsidRPr="008C482E">
        <w:rPr>
          <w:lang w:val="sr-Latn-BA"/>
        </w:rPr>
        <w:t xml:space="preserve"> (2012)</w:t>
      </w:r>
      <w:r w:rsidR="00F52A94">
        <w:rPr>
          <w:lang w:val="sr-Cyrl-BA"/>
        </w:rPr>
        <w:t xml:space="preserve"> </w:t>
      </w:r>
      <w:r w:rsidRPr="008C482E">
        <w:rPr>
          <w:lang w:val="sr-Latn-BA"/>
        </w:rPr>
        <w:t>62 (</w:t>
      </w:r>
      <w:hyperlink r:id="rId26" w:tgtFrame="_blank" w:tooltip="Persistent link using digital object identifier" w:history="1">
        <w:r w:rsidRPr="00D72F5E">
          <w:rPr>
            <w:rStyle w:val="Hyperlink"/>
            <w:color w:val="auto"/>
          </w:rPr>
          <w:t>https</w:t>
        </w:r>
        <w:r w:rsidRPr="008C482E">
          <w:rPr>
            <w:rStyle w:val="Hyperlink"/>
            <w:color w:val="auto"/>
            <w:lang w:val="sr-Latn-BA"/>
          </w:rPr>
          <w:t>://</w:t>
        </w:r>
        <w:r w:rsidRPr="00D72F5E">
          <w:rPr>
            <w:rStyle w:val="Hyperlink"/>
            <w:color w:val="auto"/>
          </w:rPr>
          <w:t>doi</w:t>
        </w:r>
        <w:r w:rsidRPr="008C482E">
          <w:rPr>
            <w:rStyle w:val="Hyperlink"/>
            <w:color w:val="auto"/>
            <w:lang w:val="sr-Latn-BA"/>
          </w:rPr>
          <w:t>.</w:t>
        </w:r>
        <w:r w:rsidRPr="00D72F5E">
          <w:rPr>
            <w:rStyle w:val="Hyperlink"/>
            <w:color w:val="auto"/>
          </w:rPr>
          <w:t>org</w:t>
        </w:r>
        <w:r w:rsidRPr="008C482E">
          <w:rPr>
            <w:rStyle w:val="Hyperlink"/>
            <w:color w:val="auto"/>
            <w:lang w:val="sr-Latn-BA"/>
          </w:rPr>
          <w:t>/10.1016/</w:t>
        </w:r>
        <w:r w:rsidRPr="00D72F5E">
          <w:rPr>
            <w:rStyle w:val="Hyperlink"/>
            <w:color w:val="auto"/>
          </w:rPr>
          <w:t>j</w:t>
        </w:r>
        <w:r w:rsidRPr="008C482E">
          <w:rPr>
            <w:rStyle w:val="Hyperlink"/>
            <w:color w:val="auto"/>
            <w:lang w:val="sr-Latn-BA"/>
          </w:rPr>
          <w:t>.</w:t>
        </w:r>
        <w:r w:rsidRPr="00D72F5E">
          <w:rPr>
            <w:rStyle w:val="Hyperlink"/>
            <w:color w:val="auto"/>
          </w:rPr>
          <w:t>toxlet</w:t>
        </w:r>
        <w:r w:rsidRPr="008C482E">
          <w:rPr>
            <w:rStyle w:val="Hyperlink"/>
            <w:color w:val="auto"/>
            <w:lang w:val="sr-Latn-BA"/>
          </w:rPr>
          <w:t>.2012.03.001</w:t>
        </w:r>
      </w:hyperlink>
      <w:r w:rsidRPr="008C482E">
        <w:rPr>
          <w:lang w:val="sr-Latn-BA"/>
        </w:rPr>
        <w:t>)</w:t>
      </w:r>
    </w:p>
    <w:p w:rsidR="001012AF" w:rsidRDefault="00A81780" w:rsidP="00A81780">
      <w:pPr>
        <w:spacing w:line="360" w:lineRule="auto"/>
        <w:ind w:left="360"/>
        <w:rPr>
          <w:color w:val="333333"/>
          <w:spacing w:val="3"/>
          <w:shd w:val="clear" w:color="auto" w:fill="FCFCFC"/>
          <w:lang w:val="sr-Latn-BA"/>
        </w:rPr>
      </w:pPr>
      <w:r>
        <w:rPr>
          <w:color w:val="222222"/>
          <w:shd w:val="clear" w:color="auto" w:fill="FFFFFF"/>
          <w:lang w:val="sr-Latn-BA"/>
        </w:rPr>
        <w:t>12.</w:t>
      </w:r>
      <w:r w:rsidR="00F52A94">
        <w:rPr>
          <w:color w:val="222222"/>
          <w:shd w:val="clear" w:color="auto" w:fill="FFFFFF"/>
          <w:lang w:val="sr-Cyrl-BA"/>
        </w:rPr>
        <w:t xml:space="preserve"> </w:t>
      </w:r>
      <w:r w:rsidRPr="00815F9C">
        <w:rPr>
          <w:color w:val="222222"/>
          <w:shd w:val="clear" w:color="auto" w:fill="FFFFFF"/>
        </w:rPr>
        <w:t>D</w:t>
      </w:r>
      <w:r w:rsidRPr="008C482E">
        <w:rPr>
          <w:color w:val="222222"/>
          <w:shd w:val="clear" w:color="auto" w:fill="FFFFFF"/>
          <w:lang w:val="sr-Latn-BA"/>
        </w:rPr>
        <w:t>.</w:t>
      </w:r>
      <w:r w:rsidR="00F52A94">
        <w:rPr>
          <w:color w:val="222222"/>
          <w:shd w:val="clear" w:color="auto" w:fill="FFFFFF"/>
          <w:lang w:val="sr-Cyrl-BA"/>
        </w:rPr>
        <w:t xml:space="preserve"> </w:t>
      </w:r>
      <w:r w:rsidRPr="008C482E">
        <w:rPr>
          <w:color w:val="222222"/>
          <w:shd w:val="clear" w:color="auto" w:fill="FFFFFF"/>
          <w:lang w:val="sr-Latn-BA"/>
        </w:rPr>
        <w:t>Ž</w:t>
      </w:r>
      <w:r>
        <w:rPr>
          <w:color w:val="222222"/>
          <w:shd w:val="clear" w:color="auto" w:fill="FFFFFF"/>
        </w:rPr>
        <w:t>elje</w:t>
      </w:r>
      <w:r w:rsidRPr="008C482E">
        <w:rPr>
          <w:color w:val="222222"/>
          <w:shd w:val="clear" w:color="auto" w:fill="FFFFFF"/>
          <w:lang w:val="sr-Latn-BA"/>
        </w:rPr>
        <w:t>ž</w:t>
      </w:r>
      <w:r>
        <w:rPr>
          <w:color w:val="222222"/>
          <w:shd w:val="clear" w:color="auto" w:fill="FFFFFF"/>
        </w:rPr>
        <w:t>i</w:t>
      </w:r>
      <w:r w:rsidRPr="008C482E">
        <w:rPr>
          <w:color w:val="222222"/>
          <w:shd w:val="clear" w:color="auto" w:fill="FFFFFF"/>
          <w:lang w:val="sr-Latn-BA"/>
        </w:rPr>
        <w:t xml:space="preserve">ć, </w:t>
      </w:r>
      <w:r w:rsidRPr="00815F9C">
        <w:rPr>
          <w:color w:val="222222"/>
          <w:shd w:val="clear" w:color="auto" w:fill="FFFFFF"/>
        </w:rPr>
        <w:t>S</w:t>
      </w:r>
      <w:r w:rsidRPr="008C482E">
        <w:rPr>
          <w:color w:val="222222"/>
          <w:shd w:val="clear" w:color="auto" w:fill="FFFFFF"/>
          <w:lang w:val="sr-Latn-BA"/>
        </w:rPr>
        <w:t>.</w:t>
      </w:r>
      <w:r w:rsidR="00F52A94">
        <w:rPr>
          <w:color w:val="222222"/>
          <w:shd w:val="clear" w:color="auto" w:fill="FFFFFF"/>
          <w:lang w:val="sr-Cyrl-BA"/>
        </w:rPr>
        <w:t xml:space="preserve"> </w:t>
      </w:r>
      <w:r w:rsidRPr="008C482E">
        <w:rPr>
          <w:color w:val="222222"/>
          <w:shd w:val="clear" w:color="auto" w:fill="FFFFFF"/>
          <w:lang w:val="sr-Latn-BA"/>
        </w:rPr>
        <w:t>Ž</w:t>
      </w:r>
      <w:r>
        <w:rPr>
          <w:color w:val="222222"/>
          <w:shd w:val="clear" w:color="auto" w:fill="FFFFFF"/>
        </w:rPr>
        <w:t>unec</w:t>
      </w:r>
      <w:r w:rsidRPr="008C482E">
        <w:rPr>
          <w:color w:val="222222"/>
          <w:shd w:val="clear" w:color="auto" w:fill="FFFFFF"/>
          <w:lang w:val="sr-Latn-BA"/>
        </w:rPr>
        <w:t xml:space="preserve">, </w:t>
      </w:r>
      <w:r w:rsidRPr="00815F9C">
        <w:rPr>
          <w:color w:val="222222"/>
          <w:shd w:val="clear" w:color="auto" w:fill="FFFFFF"/>
        </w:rPr>
        <w:t>M</w:t>
      </w:r>
      <w:r w:rsidRPr="008C482E">
        <w:rPr>
          <w:color w:val="222222"/>
          <w:shd w:val="clear" w:color="auto" w:fill="FFFFFF"/>
          <w:lang w:val="sr-Latn-BA"/>
        </w:rPr>
        <w:t>.</w:t>
      </w:r>
      <w:r w:rsidR="00F52A94">
        <w:rPr>
          <w:color w:val="222222"/>
          <w:shd w:val="clear" w:color="auto" w:fill="FFFFFF"/>
          <w:lang w:val="sr-Cyrl-BA"/>
        </w:rPr>
        <w:t xml:space="preserve"> </w:t>
      </w:r>
      <w:r>
        <w:rPr>
          <w:color w:val="222222"/>
          <w:shd w:val="clear" w:color="auto" w:fill="FFFFFF"/>
        </w:rPr>
        <w:t>Bjeli</w:t>
      </w:r>
      <w:r w:rsidRPr="008C482E">
        <w:rPr>
          <w:color w:val="222222"/>
          <w:shd w:val="clear" w:color="auto" w:fill="FFFFFF"/>
          <w:lang w:val="sr-Latn-BA"/>
        </w:rPr>
        <w:t xml:space="preserve">š, </w:t>
      </w:r>
      <w:r w:rsidRPr="00815F9C">
        <w:rPr>
          <w:color w:val="222222"/>
          <w:shd w:val="clear" w:color="auto" w:fill="FFFFFF"/>
        </w:rPr>
        <w:t>V</w:t>
      </w:r>
      <w:r w:rsidRPr="008C482E">
        <w:rPr>
          <w:color w:val="222222"/>
          <w:shd w:val="clear" w:color="auto" w:fill="FFFFFF"/>
          <w:lang w:val="sr-Latn-BA"/>
        </w:rPr>
        <w:t>.</w:t>
      </w:r>
      <w:r w:rsidR="00F52A94">
        <w:rPr>
          <w:color w:val="222222"/>
          <w:shd w:val="clear" w:color="auto" w:fill="FFFFFF"/>
          <w:lang w:val="sr-Cyrl-BA"/>
        </w:rPr>
        <w:t xml:space="preserve"> </w:t>
      </w:r>
      <w:r>
        <w:rPr>
          <w:color w:val="222222"/>
          <w:shd w:val="clear" w:color="auto" w:fill="FFFFFF"/>
        </w:rPr>
        <w:t>Benkovi</w:t>
      </w:r>
      <w:r w:rsidRPr="008C482E">
        <w:rPr>
          <w:color w:val="222222"/>
          <w:shd w:val="clear" w:color="auto" w:fill="FFFFFF"/>
          <w:lang w:val="sr-Latn-BA"/>
        </w:rPr>
        <w:t xml:space="preserve">ć, </w:t>
      </w:r>
      <w:r w:rsidRPr="00815F9C">
        <w:rPr>
          <w:color w:val="222222"/>
          <w:shd w:val="clear" w:color="auto" w:fill="FFFFFF"/>
        </w:rPr>
        <w:t>M</w:t>
      </w:r>
      <w:r w:rsidRPr="008C482E">
        <w:rPr>
          <w:color w:val="222222"/>
          <w:shd w:val="clear" w:color="auto" w:fill="FFFFFF"/>
          <w:lang w:val="sr-Latn-BA"/>
        </w:rPr>
        <w:t>.</w:t>
      </w:r>
      <w:r w:rsidR="00F52A94">
        <w:rPr>
          <w:color w:val="222222"/>
          <w:shd w:val="clear" w:color="auto" w:fill="FFFFFF"/>
          <w:lang w:val="sr-Cyrl-BA"/>
        </w:rPr>
        <w:t xml:space="preserve"> </w:t>
      </w:r>
      <w:r>
        <w:rPr>
          <w:color w:val="222222"/>
          <w:shd w:val="clear" w:color="auto" w:fill="FFFFFF"/>
        </w:rPr>
        <w:t>Mladini</w:t>
      </w:r>
      <w:r w:rsidRPr="008C482E">
        <w:rPr>
          <w:color w:val="222222"/>
          <w:shd w:val="clear" w:color="auto" w:fill="FFFFFF"/>
          <w:lang w:val="sr-Latn-BA"/>
        </w:rPr>
        <w:t xml:space="preserve">ć, </w:t>
      </w:r>
      <w:r w:rsidRPr="00815F9C">
        <w:rPr>
          <w:color w:val="222222"/>
          <w:shd w:val="clear" w:color="auto" w:fill="FFFFFF"/>
        </w:rPr>
        <w:t>B</w:t>
      </w:r>
      <w:r w:rsidRPr="008C482E">
        <w:rPr>
          <w:color w:val="222222"/>
          <w:shd w:val="clear" w:color="auto" w:fill="FFFFFF"/>
          <w:lang w:val="sr-Latn-BA"/>
        </w:rPr>
        <w:t xml:space="preserve">. </w:t>
      </w:r>
      <w:r w:rsidRPr="00815F9C">
        <w:rPr>
          <w:color w:val="222222"/>
          <w:shd w:val="clear" w:color="auto" w:fill="FFFFFF"/>
        </w:rPr>
        <w:t>L</w:t>
      </w:r>
      <w:r>
        <w:rPr>
          <w:color w:val="222222"/>
          <w:shd w:val="clear" w:color="auto" w:fill="FFFFFF"/>
        </w:rPr>
        <w:t>ovakovi</w:t>
      </w:r>
      <w:r w:rsidRPr="008C482E">
        <w:rPr>
          <w:color w:val="222222"/>
          <w:shd w:val="clear" w:color="auto" w:fill="FFFFFF"/>
          <w:lang w:val="sr-Latn-BA"/>
        </w:rPr>
        <w:t>ć</w:t>
      </w:r>
      <w:r w:rsidR="00F52A94">
        <w:rPr>
          <w:color w:val="222222"/>
          <w:shd w:val="clear" w:color="auto" w:fill="FFFFFF"/>
          <w:lang w:val="sr-Cyrl-BA"/>
        </w:rPr>
        <w:t xml:space="preserve"> </w:t>
      </w:r>
      <w:r w:rsidRPr="00815F9C">
        <w:rPr>
          <w:color w:val="222222"/>
          <w:shd w:val="clear" w:color="auto" w:fill="FFFFFF"/>
        </w:rPr>
        <w:t>Tariba</w:t>
      </w:r>
      <w:r w:rsidRPr="008C482E">
        <w:rPr>
          <w:color w:val="222222"/>
          <w:shd w:val="clear" w:color="auto" w:fill="FFFFFF"/>
          <w:lang w:val="sr-Latn-BA"/>
        </w:rPr>
        <w:t xml:space="preserve">, </w:t>
      </w:r>
      <w:r>
        <w:rPr>
          <w:color w:val="222222"/>
          <w:shd w:val="clear" w:color="auto" w:fill="FFFFFF"/>
        </w:rPr>
        <w:t>I</w:t>
      </w:r>
      <w:r w:rsidRPr="008C482E">
        <w:rPr>
          <w:color w:val="222222"/>
          <w:shd w:val="clear" w:color="auto" w:fill="FFFFFF"/>
          <w:lang w:val="sr-Latn-BA"/>
        </w:rPr>
        <w:t xml:space="preserve">. </w:t>
      </w:r>
      <w:r>
        <w:rPr>
          <w:color w:val="222222"/>
          <w:shd w:val="clear" w:color="auto" w:fill="FFFFFF"/>
        </w:rPr>
        <w:t>Pavi</w:t>
      </w:r>
      <w:r>
        <w:rPr>
          <w:color w:val="222222"/>
          <w:shd w:val="clear" w:color="auto" w:fill="FFFFFF"/>
          <w:lang w:val="sr-Latn-BA"/>
        </w:rPr>
        <w:t xml:space="preserve">čić, A. M. Marjanović Čermak, V. Kašuba, M. Milić, </w:t>
      </w:r>
      <w:r w:rsidRPr="00815F9C">
        <w:rPr>
          <w:color w:val="222222"/>
          <w:shd w:val="clear" w:color="auto" w:fill="FFFFFF"/>
        </w:rPr>
        <w:t>A</w:t>
      </w:r>
      <w:r w:rsidRPr="008C482E">
        <w:rPr>
          <w:color w:val="222222"/>
          <w:shd w:val="clear" w:color="auto" w:fill="FFFFFF"/>
          <w:lang w:val="sr-Latn-BA"/>
        </w:rPr>
        <w:t xml:space="preserve">. </w:t>
      </w:r>
      <w:r w:rsidRPr="00815F9C">
        <w:rPr>
          <w:color w:val="222222"/>
          <w:shd w:val="clear" w:color="auto" w:fill="FFFFFF"/>
        </w:rPr>
        <w:t>Pizent</w:t>
      </w:r>
      <w:r w:rsidRPr="008C482E">
        <w:rPr>
          <w:color w:val="222222"/>
          <w:shd w:val="clear" w:color="auto" w:fill="FFFFFF"/>
          <w:lang w:val="sr-Latn-BA"/>
        </w:rPr>
        <w:t xml:space="preserve">, </w:t>
      </w:r>
      <w:r>
        <w:rPr>
          <w:color w:val="222222"/>
          <w:shd w:val="clear" w:color="auto" w:fill="FFFFFF"/>
        </w:rPr>
        <w:t>A</w:t>
      </w:r>
      <w:r w:rsidRPr="008C482E">
        <w:rPr>
          <w:color w:val="222222"/>
          <w:shd w:val="clear" w:color="auto" w:fill="FFFFFF"/>
          <w:lang w:val="sr-Latn-BA"/>
        </w:rPr>
        <w:t xml:space="preserve">. </w:t>
      </w:r>
      <w:r>
        <w:rPr>
          <w:color w:val="222222"/>
          <w:shd w:val="clear" w:color="auto" w:fill="FFFFFF"/>
        </w:rPr>
        <w:t>Luci</w:t>
      </w:r>
      <w:r w:rsidRPr="008C482E">
        <w:rPr>
          <w:color w:val="222222"/>
          <w:shd w:val="clear" w:color="auto" w:fill="FFFFFF"/>
          <w:lang w:val="sr-Latn-BA"/>
        </w:rPr>
        <w:t>ć</w:t>
      </w:r>
      <w:r w:rsidR="00F52A94">
        <w:rPr>
          <w:color w:val="222222"/>
          <w:shd w:val="clear" w:color="auto" w:fill="FFFFFF"/>
          <w:lang w:val="sr-Cyrl-BA"/>
        </w:rPr>
        <w:t xml:space="preserve"> </w:t>
      </w:r>
      <w:r>
        <w:rPr>
          <w:color w:val="222222"/>
          <w:shd w:val="clear" w:color="auto" w:fill="FFFFFF"/>
        </w:rPr>
        <w:t>Vrdoljak</w:t>
      </w:r>
      <w:r w:rsidRPr="008C482E">
        <w:rPr>
          <w:color w:val="222222"/>
          <w:shd w:val="clear" w:color="auto" w:fill="FFFFFF"/>
          <w:lang w:val="sr-Latn-BA"/>
        </w:rPr>
        <w:t xml:space="preserve">, </w:t>
      </w:r>
      <w:r>
        <w:rPr>
          <w:color w:val="222222"/>
          <w:shd w:val="clear" w:color="auto" w:fill="FFFFFF"/>
        </w:rPr>
        <w:t>N</w:t>
      </w:r>
      <w:r w:rsidRPr="008C482E">
        <w:rPr>
          <w:color w:val="222222"/>
          <w:shd w:val="clear" w:color="auto" w:fill="FFFFFF"/>
          <w:lang w:val="sr-Latn-BA"/>
        </w:rPr>
        <w:t xml:space="preserve">. </w:t>
      </w:r>
      <w:r>
        <w:rPr>
          <w:color w:val="222222"/>
          <w:shd w:val="clear" w:color="auto" w:fill="FFFFFF"/>
        </w:rPr>
        <w:t>Kopjar</w:t>
      </w:r>
      <w:r w:rsidRPr="008C482E">
        <w:rPr>
          <w:color w:val="222222"/>
          <w:shd w:val="clear" w:color="auto" w:fill="FFFFFF"/>
          <w:lang w:val="sr-Latn-BA"/>
        </w:rPr>
        <w:t xml:space="preserve">, </w:t>
      </w:r>
      <w:r w:rsidRPr="003766CA">
        <w:rPr>
          <w:i/>
          <w:color w:val="222222"/>
          <w:shd w:val="clear" w:color="auto" w:fill="FFFFFF"/>
        </w:rPr>
        <w:t>Environ</w:t>
      </w:r>
      <w:r w:rsidRPr="008C482E">
        <w:rPr>
          <w:i/>
          <w:color w:val="222222"/>
          <w:shd w:val="clear" w:color="auto" w:fill="FFFFFF"/>
          <w:lang w:val="sr-Latn-BA"/>
        </w:rPr>
        <w:t xml:space="preserve">. </w:t>
      </w:r>
      <w:r w:rsidRPr="003766CA">
        <w:rPr>
          <w:i/>
          <w:color w:val="222222"/>
          <w:shd w:val="clear" w:color="auto" w:fill="FFFFFF"/>
        </w:rPr>
        <w:t>Sci</w:t>
      </w:r>
      <w:r w:rsidRPr="001012AF">
        <w:rPr>
          <w:i/>
          <w:color w:val="222222"/>
          <w:shd w:val="clear" w:color="auto" w:fill="FFFFFF"/>
          <w:lang w:val="sr-Latn-BA"/>
        </w:rPr>
        <w:t xml:space="preserve">. </w:t>
      </w:r>
      <w:r w:rsidRPr="003766CA">
        <w:rPr>
          <w:i/>
          <w:color w:val="222222"/>
          <w:shd w:val="clear" w:color="auto" w:fill="FFFFFF"/>
        </w:rPr>
        <w:t>Pollut</w:t>
      </w:r>
      <w:r w:rsidRPr="001012AF">
        <w:rPr>
          <w:i/>
          <w:color w:val="222222"/>
          <w:shd w:val="clear" w:color="auto" w:fill="FFFFFF"/>
          <w:lang w:val="sr-Latn-BA"/>
        </w:rPr>
        <w:t xml:space="preserve">. </w:t>
      </w:r>
      <w:r w:rsidRPr="003766CA">
        <w:rPr>
          <w:i/>
          <w:color w:val="222222"/>
          <w:shd w:val="clear" w:color="auto" w:fill="FFFFFF"/>
        </w:rPr>
        <w:t>Res</w:t>
      </w:r>
      <w:r w:rsidRPr="001012AF">
        <w:rPr>
          <w:i/>
          <w:color w:val="222222"/>
          <w:shd w:val="clear" w:color="auto" w:fill="FFFFFF"/>
          <w:lang w:val="sr-Latn-BA"/>
        </w:rPr>
        <w:t>.</w:t>
      </w:r>
      <w:r w:rsidR="00F52A94">
        <w:rPr>
          <w:i/>
          <w:color w:val="222222"/>
          <w:shd w:val="clear" w:color="auto" w:fill="FFFFFF"/>
          <w:lang w:val="sr-Cyrl-BA"/>
        </w:rPr>
        <w:t xml:space="preserve"> </w:t>
      </w:r>
      <w:r w:rsidRPr="001012AF">
        <w:rPr>
          <w:b/>
          <w:color w:val="222222"/>
          <w:shd w:val="clear" w:color="auto" w:fill="FFFFFF"/>
          <w:lang w:val="sr-Latn-BA"/>
        </w:rPr>
        <w:t>25</w:t>
      </w:r>
      <w:r w:rsidR="00F52A94">
        <w:rPr>
          <w:b/>
          <w:color w:val="222222"/>
          <w:shd w:val="clear" w:color="auto" w:fill="FFFFFF"/>
          <w:lang w:val="sr-Cyrl-BA"/>
        </w:rPr>
        <w:t xml:space="preserve"> </w:t>
      </w:r>
      <w:r w:rsidRPr="001012AF">
        <w:rPr>
          <w:color w:val="222222"/>
          <w:shd w:val="clear" w:color="auto" w:fill="FFFFFF"/>
          <w:lang w:val="sr-Latn-BA"/>
        </w:rPr>
        <w:t>(2018)</w:t>
      </w:r>
      <w:r w:rsidR="00F52A94">
        <w:rPr>
          <w:color w:val="222222"/>
          <w:shd w:val="clear" w:color="auto" w:fill="FFFFFF"/>
          <w:lang w:val="sr-Cyrl-BA"/>
        </w:rPr>
        <w:t xml:space="preserve"> </w:t>
      </w:r>
      <w:r w:rsidRPr="001012AF">
        <w:rPr>
          <w:color w:val="333333"/>
          <w:spacing w:val="3"/>
          <w:shd w:val="clear" w:color="auto" w:fill="FCFCFC"/>
          <w:lang w:val="sr-Latn-BA"/>
        </w:rPr>
        <w:t>19065</w:t>
      </w:r>
    </w:p>
    <w:p w:rsidR="00A81780" w:rsidRPr="001012AF" w:rsidRDefault="00A81780" w:rsidP="00A81780">
      <w:pPr>
        <w:spacing w:line="360" w:lineRule="auto"/>
        <w:ind w:left="360"/>
        <w:rPr>
          <w:rFonts w:eastAsia="Calibri"/>
          <w:lang w:val="sr-Latn-BA"/>
        </w:rPr>
      </w:pPr>
      <w:r w:rsidRPr="001012AF">
        <w:rPr>
          <w:rFonts w:eastAsia="Calibri"/>
          <w:lang w:val="sr-Latn-BA"/>
        </w:rPr>
        <w:t>(</w:t>
      </w:r>
      <w:hyperlink r:id="rId27" w:history="1">
        <w:r w:rsidRPr="00E7384C">
          <w:rPr>
            <w:rStyle w:val="Hyperlink"/>
            <w:rFonts w:eastAsia="Calibri"/>
          </w:rPr>
          <w:t>https</w:t>
        </w:r>
        <w:r w:rsidRPr="001012AF">
          <w:rPr>
            <w:rStyle w:val="Hyperlink"/>
            <w:rFonts w:eastAsia="Calibri"/>
            <w:lang w:val="sr-Latn-BA"/>
          </w:rPr>
          <w:t>://</w:t>
        </w:r>
        <w:r w:rsidRPr="00E7384C">
          <w:rPr>
            <w:rStyle w:val="Hyperlink"/>
            <w:rFonts w:eastAsia="Calibri"/>
          </w:rPr>
          <w:t>doi</w:t>
        </w:r>
        <w:r w:rsidRPr="001012AF">
          <w:rPr>
            <w:rStyle w:val="Hyperlink"/>
            <w:rFonts w:eastAsia="Calibri"/>
            <w:lang w:val="sr-Latn-BA"/>
          </w:rPr>
          <w:t>.</w:t>
        </w:r>
        <w:r w:rsidRPr="00E7384C">
          <w:rPr>
            <w:rStyle w:val="Hyperlink"/>
            <w:rFonts w:eastAsia="Calibri"/>
          </w:rPr>
          <w:t>org</w:t>
        </w:r>
        <w:r w:rsidRPr="001012AF">
          <w:rPr>
            <w:rStyle w:val="Hyperlink"/>
            <w:rFonts w:eastAsia="Calibri"/>
            <w:lang w:val="sr-Latn-BA"/>
          </w:rPr>
          <w:t>/10.1007/</w:t>
        </w:r>
        <w:r w:rsidRPr="00E7384C">
          <w:rPr>
            <w:rStyle w:val="Hyperlink"/>
            <w:rFonts w:eastAsia="Calibri"/>
          </w:rPr>
          <w:t>s</w:t>
        </w:r>
        <w:r w:rsidRPr="001012AF">
          <w:rPr>
            <w:rStyle w:val="Hyperlink"/>
            <w:rFonts w:eastAsia="Calibri"/>
            <w:lang w:val="sr-Latn-BA"/>
          </w:rPr>
          <w:t>11356-018-2046-7</w:t>
        </w:r>
      </w:hyperlink>
      <w:r w:rsidRPr="001012AF">
        <w:rPr>
          <w:rFonts w:eastAsia="Calibri"/>
          <w:lang w:val="sr-Latn-BA"/>
        </w:rPr>
        <w:t>)</w:t>
      </w:r>
    </w:p>
    <w:p w:rsidR="001012AF" w:rsidRDefault="00A81780" w:rsidP="00A81780">
      <w:pPr>
        <w:spacing w:line="360" w:lineRule="auto"/>
        <w:ind w:left="360"/>
      </w:pPr>
      <w:r>
        <w:t>13.</w:t>
      </w:r>
      <w:r w:rsidRPr="00D72F5E">
        <w:t xml:space="preserve"> B. R. Baillie,</w:t>
      </w:r>
      <w:r w:rsidR="00F52A94">
        <w:rPr>
          <w:lang w:val="sr-Cyrl-BA"/>
        </w:rPr>
        <w:t xml:space="preserve"> </w:t>
      </w:r>
      <w:r w:rsidRPr="00D72F5E">
        <w:rPr>
          <w:i/>
        </w:rPr>
        <w:t>N. Z. J. For.</w:t>
      </w:r>
      <w:r w:rsidR="00F52A94">
        <w:rPr>
          <w:i/>
          <w:lang w:val="sr-Cyrl-BA"/>
        </w:rPr>
        <w:t xml:space="preserve"> </w:t>
      </w:r>
      <w:r w:rsidRPr="00D72F5E">
        <w:rPr>
          <w:i/>
        </w:rPr>
        <w:t>Sci.</w:t>
      </w:r>
      <w:r w:rsidR="00F52A94">
        <w:rPr>
          <w:i/>
          <w:lang w:val="sr-Cyrl-BA"/>
        </w:rPr>
        <w:t xml:space="preserve"> </w:t>
      </w:r>
      <w:r w:rsidRPr="00D72F5E">
        <w:rPr>
          <w:b/>
        </w:rPr>
        <w:t>46</w:t>
      </w:r>
      <w:r w:rsidRPr="00D72F5E">
        <w:t xml:space="preserve"> (2016) 16</w:t>
      </w:r>
    </w:p>
    <w:p w:rsidR="00A81780" w:rsidRDefault="00A81780" w:rsidP="00A81780">
      <w:pPr>
        <w:spacing w:line="360" w:lineRule="auto"/>
        <w:ind w:left="360"/>
      </w:pPr>
      <w:r w:rsidRPr="00D72F5E">
        <w:t>(</w:t>
      </w:r>
      <w:hyperlink r:id="rId28" w:history="1">
        <w:r w:rsidRPr="00D72F5E">
          <w:rPr>
            <w:rStyle w:val="Hyperlink"/>
            <w:color w:val="auto"/>
            <w:shd w:val="clear" w:color="auto" w:fill="FCFCFC"/>
          </w:rPr>
          <w:t>https://doi.org/10.1186/s40490-016-0072-0</w:t>
        </w:r>
      </w:hyperlink>
      <w:r w:rsidRPr="00D72F5E">
        <w:t>)</w:t>
      </w:r>
    </w:p>
    <w:p w:rsidR="001012AF" w:rsidRDefault="00A81780">
      <w:pPr>
        <w:spacing w:line="360" w:lineRule="auto"/>
        <w:ind w:left="360"/>
        <w:rPr>
          <w:lang w:val="bs-Latn-BA"/>
        </w:rPr>
      </w:pPr>
      <w:r>
        <w:rPr>
          <w:lang w:val="bs-Latn-BA"/>
        </w:rPr>
        <w:t>14.</w:t>
      </w:r>
      <w:r w:rsidR="00F52A94">
        <w:rPr>
          <w:lang w:val="sr-Cyrl-BA"/>
        </w:rPr>
        <w:t xml:space="preserve"> </w:t>
      </w:r>
      <w:r w:rsidRPr="00D72F5E">
        <w:t>PubChem</w:t>
      </w:r>
      <w:r w:rsidRPr="00D72F5E">
        <w:rPr>
          <w:lang w:val="bs-Latn-BA"/>
        </w:rPr>
        <w:t>.</w:t>
      </w:r>
    </w:p>
    <w:p w:rsidR="00A81780" w:rsidRDefault="00A81780">
      <w:pPr>
        <w:spacing w:line="360" w:lineRule="auto"/>
        <w:ind w:left="360"/>
      </w:pPr>
      <w:r w:rsidRPr="00D72F5E">
        <w:rPr>
          <w:lang w:val="bs-Latn-BA"/>
        </w:rPr>
        <w:t>(</w:t>
      </w:r>
      <w:hyperlink r:id="rId29" w:anchor="section=Top" w:history="1">
        <w:r w:rsidRPr="00D72F5E">
          <w:t>https</w:t>
        </w:r>
        <w:r w:rsidRPr="00D72F5E">
          <w:rPr>
            <w:lang w:val="bs-Latn-BA"/>
          </w:rPr>
          <w:t>://</w:t>
        </w:r>
        <w:r w:rsidRPr="00D72F5E">
          <w:t>pubchem</w:t>
        </w:r>
        <w:r w:rsidRPr="00D72F5E">
          <w:rPr>
            <w:lang w:val="bs-Latn-BA"/>
          </w:rPr>
          <w:t>.</w:t>
        </w:r>
        <w:r w:rsidRPr="00D72F5E">
          <w:t>ncbi</w:t>
        </w:r>
        <w:r w:rsidRPr="00D72F5E">
          <w:rPr>
            <w:lang w:val="bs-Latn-BA"/>
          </w:rPr>
          <w:t>.</w:t>
        </w:r>
        <w:r w:rsidRPr="00D72F5E">
          <w:t>nlm</w:t>
        </w:r>
        <w:r w:rsidRPr="00D72F5E">
          <w:rPr>
            <w:lang w:val="bs-Latn-BA"/>
          </w:rPr>
          <w:t>.</w:t>
        </w:r>
        <w:r w:rsidRPr="00D72F5E">
          <w:t>nih</w:t>
        </w:r>
        <w:r w:rsidRPr="00D72F5E">
          <w:rPr>
            <w:lang w:val="bs-Latn-BA"/>
          </w:rPr>
          <w:t>.</w:t>
        </w:r>
        <w:r w:rsidRPr="00D72F5E">
          <w:t>gov</w:t>
        </w:r>
        <w:r w:rsidRPr="00D72F5E">
          <w:rPr>
            <w:lang w:val="bs-Latn-BA"/>
          </w:rPr>
          <w:t>/</w:t>
        </w:r>
        <w:r w:rsidRPr="00D72F5E">
          <w:t>compound</w:t>
        </w:r>
        <w:r w:rsidRPr="00D72F5E">
          <w:rPr>
            <w:lang w:val="bs-Latn-BA"/>
          </w:rPr>
          <w:t>/</w:t>
        </w:r>
        <w:r w:rsidRPr="00D72F5E">
          <w:t>Terbuthylazine</w:t>
        </w:r>
        <w:r w:rsidRPr="00D72F5E">
          <w:rPr>
            <w:lang w:val="bs-Latn-BA"/>
          </w:rPr>
          <w:t>#</w:t>
        </w:r>
        <w:r w:rsidRPr="00D72F5E">
          <w:t>section</w:t>
        </w:r>
        <w:r w:rsidRPr="00D72F5E">
          <w:rPr>
            <w:lang w:val="bs-Latn-BA"/>
          </w:rPr>
          <w:t>=</w:t>
        </w:r>
        <w:r w:rsidRPr="00D72F5E">
          <w:t>Solubility</w:t>
        </w:r>
      </w:hyperlink>
      <w:r w:rsidRPr="00D72F5E">
        <w:rPr>
          <w:lang w:val="bs-Latn-BA"/>
        </w:rPr>
        <w:t>)</w:t>
      </w:r>
      <w:r w:rsidR="00F52A94">
        <w:rPr>
          <w:lang w:val="sr-Cyrl-BA"/>
        </w:rPr>
        <w:t xml:space="preserve"> </w:t>
      </w:r>
      <w:r w:rsidRPr="00D72F5E">
        <w:t>(</w:t>
      </w:r>
      <w:r w:rsidR="001D67C0">
        <w:t>A</w:t>
      </w:r>
      <w:r w:rsidRPr="00D72F5E">
        <w:t>ccessed 20 December 2017)</w:t>
      </w:r>
    </w:p>
    <w:p w:rsidR="001012AF" w:rsidRDefault="00A81780" w:rsidP="00A81780">
      <w:pPr>
        <w:spacing w:line="360" w:lineRule="auto"/>
        <w:ind w:left="360"/>
      </w:pPr>
      <w:r>
        <w:t>15.</w:t>
      </w:r>
      <w:r w:rsidRPr="00D72F5E">
        <w:t xml:space="preserve"> D. L. Drabkin, H. L. Austin,</w:t>
      </w:r>
      <w:r w:rsidR="00F52A94">
        <w:rPr>
          <w:lang w:val="sr-Cyrl-BA"/>
        </w:rPr>
        <w:t xml:space="preserve"> </w:t>
      </w:r>
      <w:r w:rsidRPr="00D72F5E">
        <w:rPr>
          <w:i/>
        </w:rPr>
        <w:t>J. Biol. Chem.</w:t>
      </w:r>
      <w:r w:rsidR="00F52A94">
        <w:rPr>
          <w:i/>
          <w:lang w:val="sr-Cyrl-BA"/>
        </w:rPr>
        <w:t xml:space="preserve"> </w:t>
      </w:r>
      <w:r w:rsidRPr="00D72F5E">
        <w:rPr>
          <w:b/>
        </w:rPr>
        <w:t>112</w:t>
      </w:r>
      <w:r w:rsidRPr="00D72F5E">
        <w:t xml:space="preserve"> (1935) 51</w:t>
      </w:r>
    </w:p>
    <w:p w:rsidR="00A81780" w:rsidRDefault="00A81780" w:rsidP="00A81780">
      <w:pPr>
        <w:spacing w:line="360" w:lineRule="auto"/>
        <w:ind w:left="360"/>
        <w:rPr>
          <w:lang w:val="sr-Latn-BA"/>
        </w:rPr>
      </w:pPr>
      <w:r w:rsidRPr="00D72F5E">
        <w:rPr>
          <w:lang w:val="sr-Latn-BA"/>
        </w:rPr>
        <w:lastRenderedPageBreak/>
        <w:t>(</w:t>
      </w:r>
      <w:hyperlink r:id="rId30" w:history="1">
        <w:r w:rsidRPr="00D72F5E">
          <w:rPr>
            <w:rStyle w:val="Hyperlink"/>
            <w:color w:val="auto"/>
            <w:lang w:val="sr-Latn-BA"/>
          </w:rPr>
          <w:t>http://www.jbc.org/content/112/1/51.full.pdf</w:t>
        </w:r>
      </w:hyperlink>
      <w:r w:rsidRPr="00D72F5E">
        <w:rPr>
          <w:lang w:val="sr-Latn-BA"/>
        </w:rPr>
        <w:t>)</w:t>
      </w:r>
    </w:p>
    <w:p w:rsidR="00A81780" w:rsidRDefault="00A81780">
      <w:pPr>
        <w:spacing w:line="360" w:lineRule="auto"/>
        <w:ind w:left="360"/>
      </w:pPr>
      <w:bookmarkStart w:id="20" w:name="jatop"/>
      <w:bookmarkEnd w:id="20"/>
      <w:r>
        <w:t>16.</w:t>
      </w:r>
      <w:r w:rsidRPr="00D72F5E">
        <w:t xml:space="preserve"> Tsuchihashi M. Zur</w:t>
      </w:r>
      <w:r w:rsidR="00F52A94">
        <w:rPr>
          <w:lang w:val="sr-Cyrl-BA"/>
        </w:rPr>
        <w:t xml:space="preserve"> </w:t>
      </w:r>
      <w:r w:rsidRPr="00D72F5E">
        <w:t xml:space="preserve">Kenntnis der Blutkatalase. </w:t>
      </w:r>
      <w:r w:rsidRPr="00D72F5E">
        <w:rPr>
          <w:i/>
        </w:rPr>
        <w:t>Biochem. Z.</w:t>
      </w:r>
      <w:r w:rsidR="00F52A94">
        <w:rPr>
          <w:i/>
          <w:lang w:val="sr-Cyrl-BA"/>
        </w:rPr>
        <w:t xml:space="preserve"> </w:t>
      </w:r>
      <w:r w:rsidRPr="00D72F5E">
        <w:rPr>
          <w:b/>
        </w:rPr>
        <w:t>140</w:t>
      </w:r>
      <w:r w:rsidRPr="00D72F5E">
        <w:t xml:space="preserve"> (1923) 65</w:t>
      </w:r>
    </w:p>
    <w:p w:rsidR="001012AF" w:rsidRDefault="00A81780" w:rsidP="00A81780">
      <w:pPr>
        <w:spacing w:line="360" w:lineRule="auto"/>
        <w:ind w:left="360"/>
      </w:pPr>
      <w:r>
        <w:t>17.</w:t>
      </w:r>
      <w:r w:rsidRPr="00D72F5E">
        <w:t xml:space="preserve"> C. Beauchamp, I. Fridowich,</w:t>
      </w:r>
      <w:r w:rsidR="00F52A94">
        <w:rPr>
          <w:lang w:val="sr-Cyrl-BA"/>
        </w:rPr>
        <w:t xml:space="preserve"> </w:t>
      </w:r>
      <w:r w:rsidRPr="00D72F5E">
        <w:rPr>
          <w:i/>
        </w:rPr>
        <w:t>Anal.</w:t>
      </w:r>
      <w:r w:rsidR="00F52A94">
        <w:rPr>
          <w:i/>
          <w:lang w:val="sr-Cyrl-BA"/>
        </w:rPr>
        <w:t xml:space="preserve"> </w:t>
      </w:r>
      <w:r w:rsidRPr="00D72F5E">
        <w:rPr>
          <w:i/>
        </w:rPr>
        <w:t>Biochem.</w:t>
      </w:r>
      <w:r w:rsidR="00F52A94">
        <w:rPr>
          <w:i/>
          <w:lang w:val="sr-Cyrl-BA"/>
        </w:rPr>
        <w:t xml:space="preserve"> </w:t>
      </w:r>
      <w:r w:rsidRPr="00D72F5E">
        <w:rPr>
          <w:b/>
        </w:rPr>
        <w:t>44</w:t>
      </w:r>
      <w:r w:rsidRPr="00D72F5E">
        <w:t xml:space="preserve"> (1971) 276</w:t>
      </w:r>
    </w:p>
    <w:p w:rsidR="00A81780" w:rsidRDefault="00A81780" w:rsidP="00A81780">
      <w:pPr>
        <w:spacing w:line="360" w:lineRule="auto"/>
        <w:ind w:left="360"/>
      </w:pPr>
      <w:r w:rsidRPr="00D72F5E">
        <w:t>(</w:t>
      </w:r>
      <w:hyperlink r:id="rId31" w:history="1">
        <w:r w:rsidRPr="00C53D4D">
          <w:rPr>
            <w:rStyle w:val="Hyperlink"/>
          </w:rPr>
          <w:t>https://doi.org/10.1016/0003-2697(71)90370-8)</w:t>
        </w:r>
      </w:hyperlink>
    </w:p>
    <w:p w:rsidR="001012AF" w:rsidRPr="002764CF" w:rsidRDefault="00A81780" w:rsidP="00A81780">
      <w:pPr>
        <w:spacing w:line="360" w:lineRule="auto"/>
        <w:ind w:left="360"/>
        <w:rPr>
          <w:lang w:val="pl-PL"/>
        </w:rPr>
      </w:pPr>
      <w:r>
        <w:t>18.</w:t>
      </w:r>
      <w:r w:rsidRPr="00D72F5E">
        <w:t xml:space="preserve"> W. Woodbury, A. K. Spencer, M. A. Stahmann,</w:t>
      </w:r>
      <w:r w:rsidR="00F52A94">
        <w:rPr>
          <w:lang w:val="sr-Cyrl-BA"/>
        </w:rPr>
        <w:t xml:space="preserve"> </w:t>
      </w:r>
      <w:r w:rsidRPr="00D72F5E">
        <w:rPr>
          <w:i/>
        </w:rPr>
        <w:t>Anal.</w:t>
      </w:r>
      <w:r w:rsidR="00F52A94">
        <w:rPr>
          <w:i/>
          <w:lang w:val="sr-Cyrl-BA"/>
        </w:rPr>
        <w:t xml:space="preserve"> </w:t>
      </w:r>
      <w:r w:rsidR="0082738D" w:rsidRPr="002764CF">
        <w:rPr>
          <w:i/>
          <w:lang w:val="pl-PL"/>
        </w:rPr>
        <w:t>Biochem.</w:t>
      </w:r>
      <w:r w:rsidR="00F52A94">
        <w:rPr>
          <w:i/>
          <w:lang w:val="sr-Cyrl-BA"/>
        </w:rPr>
        <w:t xml:space="preserve"> </w:t>
      </w:r>
      <w:r w:rsidR="0082738D" w:rsidRPr="002764CF">
        <w:rPr>
          <w:b/>
          <w:lang w:val="pl-PL"/>
        </w:rPr>
        <w:t>44</w:t>
      </w:r>
      <w:r w:rsidR="0082738D" w:rsidRPr="002764CF">
        <w:rPr>
          <w:lang w:val="pl-PL"/>
        </w:rPr>
        <w:t xml:space="preserve"> (1971) 301</w:t>
      </w:r>
    </w:p>
    <w:p w:rsidR="00A81780" w:rsidRPr="00007BCC" w:rsidRDefault="00A81780" w:rsidP="00A81780">
      <w:pPr>
        <w:spacing w:line="360" w:lineRule="auto"/>
        <w:ind w:left="360"/>
        <w:rPr>
          <w:lang w:val="pl-PL"/>
        </w:rPr>
      </w:pPr>
      <w:r w:rsidRPr="00007BCC">
        <w:rPr>
          <w:lang w:val="pl-PL"/>
        </w:rPr>
        <w:t>(</w:t>
      </w:r>
      <w:hyperlink r:id="rId32" w:history="1">
        <w:r w:rsidRPr="00007BCC">
          <w:rPr>
            <w:rStyle w:val="Hyperlink"/>
            <w:lang w:val="pl-PL"/>
          </w:rPr>
          <w:t>https://doi.org/10.1016/0003-2697(71)90375-7)</w:t>
        </w:r>
      </w:hyperlink>
    </w:p>
    <w:p w:rsidR="001012AF" w:rsidRPr="002764CF" w:rsidRDefault="00A81780" w:rsidP="00A81780">
      <w:pPr>
        <w:spacing w:line="360" w:lineRule="auto"/>
        <w:ind w:left="360"/>
      </w:pPr>
      <w:r w:rsidRPr="001012AF">
        <w:rPr>
          <w:lang w:val="pl-PL"/>
        </w:rPr>
        <w:t>19. W. H. Habig, M. J. Pabst, W. B. Jakoby,</w:t>
      </w:r>
      <w:r w:rsidR="00F52A94">
        <w:rPr>
          <w:lang w:val="sr-Cyrl-BA"/>
        </w:rPr>
        <w:t xml:space="preserve"> </w:t>
      </w:r>
      <w:r w:rsidRPr="001012AF">
        <w:rPr>
          <w:i/>
          <w:lang w:val="pl-PL"/>
        </w:rPr>
        <w:t>J. Biol.</w:t>
      </w:r>
      <w:r w:rsidR="00F52A94">
        <w:rPr>
          <w:i/>
          <w:lang w:val="sr-Cyrl-BA"/>
        </w:rPr>
        <w:t xml:space="preserve"> </w:t>
      </w:r>
      <w:r w:rsidR="0082738D" w:rsidRPr="002764CF">
        <w:rPr>
          <w:i/>
        </w:rPr>
        <w:t>Chem.</w:t>
      </w:r>
      <w:r w:rsidR="00F52A94">
        <w:rPr>
          <w:i/>
          <w:lang w:val="sr-Cyrl-BA"/>
        </w:rPr>
        <w:t xml:space="preserve"> </w:t>
      </w:r>
      <w:r w:rsidR="0082738D" w:rsidRPr="002764CF">
        <w:rPr>
          <w:b/>
        </w:rPr>
        <w:t>249</w:t>
      </w:r>
      <w:r w:rsidR="0082738D" w:rsidRPr="002764CF">
        <w:t xml:space="preserve"> (1974) 7130</w:t>
      </w:r>
    </w:p>
    <w:p w:rsidR="00A81780" w:rsidRPr="002764CF" w:rsidRDefault="0082738D" w:rsidP="00A81780">
      <w:pPr>
        <w:spacing w:line="360" w:lineRule="auto"/>
        <w:ind w:left="360"/>
      </w:pPr>
      <w:r w:rsidRPr="002764CF">
        <w:t>(</w:t>
      </w:r>
      <w:hyperlink r:id="rId33" w:history="1">
        <w:r w:rsidRPr="002764CF">
          <w:rPr>
            <w:rStyle w:val="Hyperlink"/>
            <w:color w:val="auto"/>
          </w:rPr>
          <w:t>http://www.jbc.org/content/249/22/7130.full.pdf</w:t>
        </w:r>
      </w:hyperlink>
      <w:r w:rsidRPr="002764CF">
        <w:t>)</w:t>
      </w:r>
    </w:p>
    <w:p w:rsidR="00A81780" w:rsidRDefault="00A81780" w:rsidP="00A81780">
      <w:pPr>
        <w:spacing w:line="360" w:lineRule="auto"/>
        <w:ind w:left="360"/>
        <w:rPr>
          <w:lang w:val="pl-PL"/>
        </w:rPr>
      </w:pPr>
      <w:r>
        <w:rPr>
          <w:lang w:val="pl-PL"/>
        </w:rPr>
        <w:t>20.</w:t>
      </w:r>
      <w:r w:rsidRPr="00D72F5E">
        <w:rPr>
          <w:lang w:val="pl-PL"/>
        </w:rPr>
        <w:t xml:space="preserve"> W. I. Sadowska, I. N. Wojcik, A. Karowicz-Bilinska, E. Bieszczad-Bedrejczuk,</w:t>
      </w:r>
      <w:r w:rsidR="00F52A94">
        <w:rPr>
          <w:lang w:val="sr-Cyrl-BA"/>
        </w:rPr>
        <w:t xml:space="preserve"> </w:t>
      </w:r>
      <w:r w:rsidRPr="00D72F5E">
        <w:rPr>
          <w:i/>
          <w:lang w:val="pl-PL"/>
        </w:rPr>
        <w:t>Toxycol.</w:t>
      </w:r>
      <w:r w:rsidR="00F52A94">
        <w:rPr>
          <w:i/>
          <w:lang w:val="sr-Cyrl-BA"/>
        </w:rPr>
        <w:t xml:space="preserve"> </w:t>
      </w:r>
      <w:r w:rsidRPr="00D72F5E">
        <w:rPr>
          <w:i/>
          <w:lang w:val="pl-PL"/>
        </w:rPr>
        <w:t>in Vitro</w:t>
      </w:r>
      <w:r w:rsidR="00F52A94">
        <w:rPr>
          <w:i/>
          <w:lang w:val="sr-Cyrl-BA"/>
        </w:rPr>
        <w:t xml:space="preserve"> </w:t>
      </w:r>
      <w:r w:rsidRPr="00D72F5E">
        <w:rPr>
          <w:b/>
          <w:lang w:val="pl-PL"/>
        </w:rPr>
        <w:t>24</w:t>
      </w:r>
      <w:r w:rsidRPr="00D72F5E">
        <w:rPr>
          <w:lang w:val="pl-PL"/>
        </w:rPr>
        <w:t xml:space="preserve"> (2010) 879</w:t>
      </w:r>
      <w:r w:rsidR="00F52A94">
        <w:rPr>
          <w:lang w:val="sr-Cyrl-BA"/>
        </w:rPr>
        <w:t xml:space="preserve"> </w:t>
      </w:r>
      <w:r w:rsidRPr="00D72F5E">
        <w:rPr>
          <w:lang w:val="pl-PL"/>
        </w:rPr>
        <w:t>(</w:t>
      </w:r>
      <w:hyperlink r:id="rId34" w:tgtFrame="_blank" w:tooltip="Persistent link using digital object identifier" w:history="1">
        <w:r w:rsidRPr="00D72F5E">
          <w:rPr>
            <w:rStyle w:val="Hyperlink"/>
            <w:color w:val="auto"/>
            <w:lang w:val="pl-PL"/>
          </w:rPr>
          <w:t>https://doi.org/10.1016/j.tiv.2009.11.022</w:t>
        </w:r>
      </w:hyperlink>
      <w:r w:rsidRPr="00D72F5E">
        <w:rPr>
          <w:lang w:val="pl-PL"/>
        </w:rPr>
        <w:t>)</w:t>
      </w:r>
    </w:p>
    <w:p w:rsidR="00A81780" w:rsidRDefault="00A81780" w:rsidP="00A81780">
      <w:pPr>
        <w:spacing w:line="360" w:lineRule="auto"/>
        <w:ind w:left="360"/>
      </w:pPr>
      <w:r>
        <w:t>21.</w:t>
      </w:r>
      <w:r w:rsidRPr="00D72F5E">
        <w:t xml:space="preserve"> I. </w:t>
      </w:r>
      <w:r w:rsidR="001D67C0">
        <w:t xml:space="preserve">Altuntas, </w:t>
      </w:r>
      <w:r w:rsidRPr="00D72F5E">
        <w:t>I. Kilinc,</w:t>
      </w:r>
      <w:r w:rsidR="00F52A94">
        <w:rPr>
          <w:lang w:val="sr-Cyrl-BA"/>
        </w:rPr>
        <w:t xml:space="preserve"> </w:t>
      </w:r>
      <w:r w:rsidRPr="00D72F5E">
        <w:t xml:space="preserve">H. Orhan, R. </w:t>
      </w:r>
      <w:r w:rsidR="001D67C0">
        <w:t xml:space="preserve">Demirel, </w:t>
      </w:r>
      <w:r w:rsidRPr="00D72F5E">
        <w:t xml:space="preserve">H. </w:t>
      </w:r>
      <w:r w:rsidR="001D67C0">
        <w:t xml:space="preserve">Koylu, </w:t>
      </w:r>
      <w:r w:rsidRPr="00D72F5E">
        <w:t>N. Delibas,</w:t>
      </w:r>
      <w:r w:rsidR="00F52A94">
        <w:rPr>
          <w:lang w:val="sr-Cyrl-BA"/>
        </w:rPr>
        <w:t xml:space="preserve"> </w:t>
      </w:r>
      <w:r w:rsidRPr="00D72F5E">
        <w:rPr>
          <w:i/>
        </w:rPr>
        <w:t>Hum. Exp.</w:t>
      </w:r>
      <w:r w:rsidR="00F52A94">
        <w:rPr>
          <w:i/>
          <w:lang w:val="sr-Cyrl-BA"/>
        </w:rPr>
        <w:t xml:space="preserve"> </w:t>
      </w:r>
      <w:r w:rsidRPr="00D72F5E">
        <w:rPr>
          <w:i/>
        </w:rPr>
        <w:t>Toxicol.</w:t>
      </w:r>
      <w:r w:rsidR="00F52A94">
        <w:rPr>
          <w:i/>
          <w:lang w:val="sr-Cyrl-BA"/>
        </w:rPr>
        <w:t xml:space="preserve"> </w:t>
      </w:r>
      <w:r w:rsidRPr="00D72F5E">
        <w:rPr>
          <w:b/>
        </w:rPr>
        <w:t>23</w:t>
      </w:r>
      <w:r w:rsidRPr="00D72F5E">
        <w:t xml:space="preserve"> (2004) 9 (</w:t>
      </w:r>
      <w:hyperlink r:id="rId35" w:history="1">
        <w:r w:rsidRPr="00D72F5E">
          <w:rPr>
            <w:rStyle w:val="Hyperlink"/>
            <w:color w:val="auto"/>
            <w:shd w:val="clear" w:color="auto" w:fill="FFFFFF"/>
          </w:rPr>
          <w:t>https://doi.org/10.1191/0960327104ht408oa</w:t>
        </w:r>
      </w:hyperlink>
      <w:r w:rsidRPr="00D72F5E">
        <w:t>)</w:t>
      </w:r>
    </w:p>
    <w:p w:rsidR="001012AF" w:rsidRDefault="00A81780" w:rsidP="00A81780">
      <w:pPr>
        <w:spacing w:line="360" w:lineRule="auto"/>
        <w:ind w:left="360"/>
      </w:pPr>
      <w:r>
        <w:t>22.</w:t>
      </w:r>
      <w:r w:rsidRPr="00D72F5E">
        <w:t xml:space="preserve"> J. M. Rifkind, E. Nagababu, S. Ramasamy, L. B. Ravi,</w:t>
      </w:r>
      <w:r w:rsidR="00F52A94">
        <w:rPr>
          <w:lang w:val="sr-Cyrl-BA"/>
        </w:rPr>
        <w:t xml:space="preserve"> </w:t>
      </w:r>
      <w:r w:rsidRPr="00D72F5E">
        <w:rPr>
          <w:i/>
        </w:rPr>
        <w:t>Redox. Rep.</w:t>
      </w:r>
      <w:r w:rsidR="00F52A94">
        <w:rPr>
          <w:i/>
          <w:lang w:val="sr-Cyrl-BA"/>
        </w:rPr>
        <w:t xml:space="preserve"> </w:t>
      </w:r>
      <w:r w:rsidRPr="00D72F5E">
        <w:rPr>
          <w:b/>
        </w:rPr>
        <w:t>8</w:t>
      </w:r>
      <w:r w:rsidRPr="00D72F5E">
        <w:t xml:space="preserve"> (2003) 234</w:t>
      </w:r>
    </w:p>
    <w:p w:rsidR="00A81780" w:rsidRDefault="00A81780" w:rsidP="00A81780">
      <w:pPr>
        <w:spacing w:line="360" w:lineRule="auto"/>
        <w:ind w:left="360"/>
      </w:pPr>
      <w:r w:rsidRPr="00D72F5E">
        <w:t>(</w:t>
      </w:r>
      <w:hyperlink r:id="rId36" w:history="1">
        <w:r w:rsidRPr="00D72F5E">
          <w:rPr>
            <w:rStyle w:val="Hyperlink"/>
            <w:color w:val="auto"/>
          </w:rPr>
          <w:t>https://doi.org/10.1179/135100003225002817</w:t>
        </w:r>
      </w:hyperlink>
      <w:r w:rsidRPr="00D72F5E">
        <w:t>)</w:t>
      </w:r>
    </w:p>
    <w:p w:rsidR="00A81780" w:rsidRDefault="00A81780" w:rsidP="00A81780">
      <w:pPr>
        <w:spacing w:line="360" w:lineRule="auto"/>
        <w:ind w:left="360"/>
      </w:pPr>
      <w:r>
        <w:t>23.</w:t>
      </w:r>
      <w:r w:rsidRPr="00D72F5E">
        <w:t xml:space="preserve"> D. G. Searcy, J. P. Whitehead, M. J. Maroney,</w:t>
      </w:r>
      <w:r w:rsidR="00F52A94">
        <w:rPr>
          <w:lang w:val="sr-Cyrl-BA"/>
        </w:rPr>
        <w:t xml:space="preserve"> </w:t>
      </w:r>
      <w:r w:rsidRPr="00D72F5E">
        <w:rPr>
          <w:i/>
        </w:rPr>
        <w:t>Arch.</w:t>
      </w:r>
      <w:r w:rsidR="00F52A94">
        <w:rPr>
          <w:i/>
          <w:lang w:val="sr-Cyrl-BA"/>
        </w:rPr>
        <w:t xml:space="preserve"> </w:t>
      </w:r>
      <w:r w:rsidRPr="00D72F5E">
        <w:rPr>
          <w:i/>
        </w:rPr>
        <w:t>Biochem.</w:t>
      </w:r>
      <w:r w:rsidR="00F52A94">
        <w:rPr>
          <w:i/>
          <w:lang w:val="sr-Cyrl-BA"/>
        </w:rPr>
        <w:t xml:space="preserve"> </w:t>
      </w:r>
      <w:r w:rsidRPr="00D72F5E">
        <w:rPr>
          <w:i/>
        </w:rPr>
        <w:t>Biophys.</w:t>
      </w:r>
      <w:r w:rsidR="00F52A94">
        <w:rPr>
          <w:i/>
          <w:lang w:val="sr-Cyrl-BA"/>
        </w:rPr>
        <w:t xml:space="preserve"> </w:t>
      </w:r>
      <w:r w:rsidRPr="00D72F5E">
        <w:rPr>
          <w:b/>
        </w:rPr>
        <w:t>318</w:t>
      </w:r>
      <w:r w:rsidRPr="00D72F5E">
        <w:t xml:space="preserve"> (1995) 251(</w:t>
      </w:r>
      <w:hyperlink r:id="rId37" w:tgtFrame="_blank" w:tooltip="Persistent link using digital object identifier" w:history="1">
        <w:r w:rsidRPr="00D72F5E">
          <w:rPr>
            <w:rStyle w:val="Hyperlink"/>
            <w:color w:val="auto"/>
          </w:rPr>
          <w:t>https://doi.org/10.1006/abbi.1995.1228</w:t>
        </w:r>
      </w:hyperlink>
      <w:r w:rsidRPr="00D72F5E">
        <w:t>)</w:t>
      </w:r>
    </w:p>
    <w:p w:rsidR="001012AF" w:rsidRDefault="00A81780" w:rsidP="00A81780">
      <w:pPr>
        <w:spacing w:line="360" w:lineRule="auto"/>
        <w:ind w:left="360"/>
      </w:pPr>
      <w:r>
        <w:t>24.</w:t>
      </w:r>
      <w:r w:rsidRPr="00D72F5E">
        <w:t xml:space="preserve"> F. Gultekin, M. Ozturk,</w:t>
      </w:r>
      <w:r w:rsidR="00F52A94">
        <w:rPr>
          <w:lang w:val="sr-Cyrl-BA"/>
        </w:rPr>
        <w:t xml:space="preserve"> </w:t>
      </w:r>
      <w:r w:rsidRPr="00D72F5E">
        <w:t xml:space="preserve">M. Akdogan. </w:t>
      </w:r>
      <w:r w:rsidRPr="00D72F5E">
        <w:rPr>
          <w:i/>
        </w:rPr>
        <w:t>Arch.</w:t>
      </w:r>
      <w:r w:rsidR="00F52A94">
        <w:rPr>
          <w:i/>
          <w:lang w:val="sr-Cyrl-BA"/>
        </w:rPr>
        <w:t xml:space="preserve"> </w:t>
      </w:r>
      <w:r w:rsidRPr="00D72F5E">
        <w:rPr>
          <w:i/>
        </w:rPr>
        <w:t>Toxicol.</w:t>
      </w:r>
      <w:r w:rsidR="00F52A94">
        <w:rPr>
          <w:i/>
          <w:lang w:val="sr-Cyrl-BA"/>
        </w:rPr>
        <w:t xml:space="preserve"> </w:t>
      </w:r>
      <w:r w:rsidRPr="00D72F5E">
        <w:rPr>
          <w:b/>
        </w:rPr>
        <w:t>74</w:t>
      </w:r>
      <w:r w:rsidRPr="00D72F5E">
        <w:t xml:space="preserve"> (2000) 533</w:t>
      </w:r>
    </w:p>
    <w:p w:rsidR="00A81780" w:rsidRDefault="00A81780" w:rsidP="00A81780">
      <w:pPr>
        <w:spacing w:line="360" w:lineRule="auto"/>
        <w:ind w:left="360"/>
        <w:rPr>
          <w:bCs/>
          <w:lang w:val="sr-Latn-BA"/>
        </w:rPr>
      </w:pPr>
      <w:r w:rsidRPr="00D72F5E">
        <w:rPr>
          <w:bCs/>
          <w:lang w:val="sr-Latn-BA"/>
        </w:rPr>
        <w:t>(</w:t>
      </w:r>
      <w:hyperlink r:id="rId38" w:history="1">
        <w:r w:rsidRPr="00D72F5E">
          <w:rPr>
            <w:rStyle w:val="Hyperlink"/>
            <w:bCs/>
            <w:color w:val="auto"/>
            <w:lang w:val="sr-Latn-BA"/>
          </w:rPr>
          <w:t>https://doi.org/10.1007/s002040000167</w:t>
        </w:r>
      </w:hyperlink>
      <w:r w:rsidRPr="00D72F5E">
        <w:rPr>
          <w:bCs/>
          <w:lang w:val="sr-Latn-BA"/>
        </w:rPr>
        <w:t>)</w:t>
      </w:r>
    </w:p>
    <w:p w:rsidR="001012AF" w:rsidRDefault="00A81780" w:rsidP="00A81780">
      <w:pPr>
        <w:spacing w:line="360" w:lineRule="auto"/>
        <w:ind w:left="360"/>
      </w:pPr>
      <w:r>
        <w:t>25.</w:t>
      </w:r>
      <w:r w:rsidRPr="00D72F5E">
        <w:t xml:space="preserve"> J. I. Toohey, A. J. Cooper,</w:t>
      </w:r>
      <w:r w:rsidR="00F52A94">
        <w:rPr>
          <w:lang w:val="sr-Cyrl-BA"/>
        </w:rPr>
        <w:t xml:space="preserve"> </w:t>
      </w:r>
      <w:r w:rsidRPr="00D72F5E">
        <w:rPr>
          <w:i/>
        </w:rPr>
        <w:t>Molecules</w:t>
      </w:r>
      <w:r w:rsidR="00F52A94">
        <w:rPr>
          <w:i/>
          <w:lang w:val="sr-Cyrl-BA"/>
        </w:rPr>
        <w:t xml:space="preserve"> </w:t>
      </w:r>
      <w:r w:rsidRPr="00D72F5E">
        <w:rPr>
          <w:b/>
        </w:rPr>
        <w:t>19</w:t>
      </w:r>
      <w:r w:rsidRPr="00D72F5E">
        <w:t xml:space="preserve"> (2014) 12789</w:t>
      </w:r>
    </w:p>
    <w:p w:rsidR="00A81780" w:rsidRDefault="00A81780" w:rsidP="00A81780">
      <w:pPr>
        <w:spacing w:line="360" w:lineRule="auto"/>
        <w:ind w:left="360"/>
      </w:pPr>
      <w:r w:rsidRPr="00D72F5E">
        <w:t>(</w:t>
      </w:r>
      <w:hyperlink r:id="rId39" w:history="1">
        <w:r w:rsidRPr="00D72F5E">
          <w:rPr>
            <w:rStyle w:val="Hyperlink"/>
            <w:color w:val="auto"/>
            <w:shd w:val="clear" w:color="auto" w:fill="FFFFFF"/>
          </w:rPr>
          <w:t>https://doi.org/10.3390/molecules190812789</w:t>
        </w:r>
      </w:hyperlink>
      <w:r w:rsidRPr="00D72F5E">
        <w:t>)</w:t>
      </w:r>
    </w:p>
    <w:p w:rsidR="001012AF" w:rsidRDefault="00A81780" w:rsidP="00A81780">
      <w:pPr>
        <w:spacing w:line="360" w:lineRule="auto"/>
        <w:ind w:left="360"/>
      </w:pPr>
      <w:r>
        <w:t>26.</w:t>
      </w:r>
      <w:r w:rsidRPr="00D72F5E">
        <w:t xml:space="preserve"> A. G. Kriebardis, M. H. Antonelou, K. E. Stamoulis, E. </w:t>
      </w:r>
      <w:r w:rsidR="001D67C0">
        <w:t xml:space="preserve">Economou-Petersen, </w:t>
      </w:r>
      <w:r w:rsidRPr="00D72F5E">
        <w:t xml:space="preserve">L. H. </w:t>
      </w:r>
      <w:r w:rsidR="001D67C0">
        <w:t xml:space="preserve">Margaritis, </w:t>
      </w:r>
      <w:r w:rsidRPr="00D72F5E">
        <w:t>I. S. Papassideri,</w:t>
      </w:r>
      <w:r w:rsidR="00F52A94">
        <w:rPr>
          <w:lang w:val="sr-Cyrl-BA"/>
        </w:rPr>
        <w:t xml:space="preserve"> </w:t>
      </w:r>
      <w:r w:rsidRPr="00D72F5E">
        <w:rPr>
          <w:i/>
        </w:rPr>
        <w:t>J. Cell. Mol. Med.</w:t>
      </w:r>
      <w:r w:rsidR="00F52A94">
        <w:rPr>
          <w:i/>
          <w:lang w:val="sr-Cyrl-BA"/>
        </w:rPr>
        <w:t xml:space="preserve"> </w:t>
      </w:r>
      <w:r w:rsidRPr="00D72F5E">
        <w:rPr>
          <w:b/>
        </w:rPr>
        <w:t>11</w:t>
      </w:r>
      <w:r w:rsidRPr="00D72F5E">
        <w:t xml:space="preserve"> (2007) 148</w:t>
      </w:r>
    </w:p>
    <w:p w:rsidR="00A81780" w:rsidRDefault="00A81780" w:rsidP="00A81780">
      <w:pPr>
        <w:spacing w:line="360" w:lineRule="auto"/>
        <w:ind w:left="360"/>
      </w:pPr>
      <w:r w:rsidRPr="00D72F5E">
        <w:t>(</w:t>
      </w:r>
      <w:hyperlink r:id="rId40" w:history="1">
        <w:r w:rsidRPr="00D72F5E">
          <w:rPr>
            <w:rStyle w:val="Hyperlink"/>
            <w:bCs/>
            <w:color w:val="auto"/>
          </w:rPr>
          <w:t>https://doi.org/10.1111/j.1582-4934.2007.00008.x</w:t>
        </w:r>
      </w:hyperlink>
      <w:r w:rsidRPr="00D72F5E">
        <w:t>)</w:t>
      </w:r>
    </w:p>
    <w:p w:rsidR="001012AF" w:rsidRDefault="00A81780" w:rsidP="00A81780">
      <w:pPr>
        <w:spacing w:line="360" w:lineRule="auto"/>
        <w:ind w:left="360"/>
      </w:pPr>
      <w:r>
        <w:t>27.</w:t>
      </w:r>
      <w:r w:rsidRPr="00D72F5E">
        <w:t xml:space="preserve"> B. Karademir</w:t>
      </w:r>
      <w:r w:rsidR="00F52A94">
        <w:rPr>
          <w:lang w:val="sr-Cyrl-BA"/>
        </w:rPr>
        <w:t xml:space="preserve"> </w:t>
      </w:r>
      <w:r w:rsidR="001D67C0">
        <w:t xml:space="preserve">Catalgol, </w:t>
      </w:r>
      <w:r w:rsidRPr="00D72F5E">
        <w:t>S. Ozden,</w:t>
      </w:r>
      <w:r w:rsidR="00F52A94">
        <w:rPr>
          <w:lang w:val="sr-Cyrl-BA"/>
        </w:rPr>
        <w:t xml:space="preserve"> </w:t>
      </w:r>
      <w:r w:rsidRPr="00D72F5E">
        <w:t>B. Alpertunga,</w:t>
      </w:r>
      <w:r w:rsidR="00F52A94">
        <w:rPr>
          <w:lang w:val="sr-Cyrl-BA"/>
        </w:rPr>
        <w:t xml:space="preserve"> </w:t>
      </w:r>
      <w:r w:rsidRPr="00D72F5E">
        <w:rPr>
          <w:i/>
        </w:rPr>
        <w:t>Toxicol.</w:t>
      </w:r>
      <w:r w:rsidR="00F52A94">
        <w:rPr>
          <w:i/>
          <w:lang w:val="sr-Cyrl-BA"/>
        </w:rPr>
        <w:t xml:space="preserve"> </w:t>
      </w:r>
      <w:r w:rsidR="00F52A94" w:rsidRPr="00D72F5E">
        <w:rPr>
          <w:i/>
        </w:rPr>
        <w:t>I</w:t>
      </w:r>
      <w:r w:rsidRPr="00D72F5E">
        <w:rPr>
          <w:i/>
        </w:rPr>
        <w:t>n</w:t>
      </w:r>
      <w:r w:rsidR="00F52A94">
        <w:rPr>
          <w:i/>
          <w:lang w:val="sr-Cyrl-BA"/>
        </w:rPr>
        <w:t xml:space="preserve"> </w:t>
      </w:r>
      <w:r w:rsidRPr="00D72F5E">
        <w:rPr>
          <w:i/>
        </w:rPr>
        <w:t>Vitro</w:t>
      </w:r>
      <w:r w:rsidR="00F52A94">
        <w:rPr>
          <w:i/>
          <w:lang w:val="sr-Cyrl-BA"/>
        </w:rPr>
        <w:t xml:space="preserve"> </w:t>
      </w:r>
      <w:r w:rsidRPr="00F83A2D">
        <w:rPr>
          <w:b/>
        </w:rPr>
        <w:t>21</w:t>
      </w:r>
      <w:r w:rsidRPr="00D72F5E">
        <w:t xml:space="preserve"> (2007) 1538</w:t>
      </w:r>
    </w:p>
    <w:p w:rsidR="00A81780" w:rsidRDefault="00A81780" w:rsidP="00A81780">
      <w:pPr>
        <w:spacing w:line="360" w:lineRule="auto"/>
        <w:ind w:left="360"/>
      </w:pPr>
      <w:r w:rsidRPr="00D72F5E">
        <w:t>(</w:t>
      </w:r>
      <w:hyperlink r:id="rId41" w:tgtFrame="_blank" w:tooltip="Persistent link using digital object identifier" w:history="1">
        <w:r w:rsidRPr="00D72F5E">
          <w:rPr>
            <w:rStyle w:val="Hyperlink"/>
            <w:color w:val="auto"/>
          </w:rPr>
          <w:t>https://doi.org/10.1016/j.tiv.2007.06.002</w:t>
        </w:r>
      </w:hyperlink>
      <w:r w:rsidRPr="00D72F5E">
        <w:t>)</w:t>
      </w:r>
    </w:p>
    <w:p w:rsidR="001012AF" w:rsidRDefault="00A81780" w:rsidP="00A81780">
      <w:pPr>
        <w:spacing w:line="360" w:lineRule="auto"/>
        <w:ind w:left="360"/>
      </w:pPr>
      <w:r>
        <w:t xml:space="preserve">28. </w:t>
      </w:r>
      <w:r w:rsidRPr="00D72F5E">
        <w:t>S. Eroğlu, D. Pandir, F. G. Uzun, H. Bas,</w:t>
      </w:r>
      <w:r w:rsidR="00F52A94">
        <w:rPr>
          <w:lang w:val="sr-Cyrl-BA"/>
        </w:rPr>
        <w:t xml:space="preserve"> </w:t>
      </w:r>
      <w:r w:rsidRPr="00D72F5E">
        <w:rPr>
          <w:i/>
        </w:rPr>
        <w:t>Biol. Res.</w:t>
      </w:r>
      <w:r w:rsidR="00F52A94">
        <w:rPr>
          <w:i/>
          <w:lang w:val="sr-Cyrl-BA"/>
        </w:rPr>
        <w:t xml:space="preserve"> </w:t>
      </w:r>
      <w:r w:rsidRPr="00D72F5E">
        <w:rPr>
          <w:b/>
        </w:rPr>
        <w:t>46</w:t>
      </w:r>
      <w:r w:rsidRPr="00D72F5E">
        <w:t xml:space="preserve"> (2013) 33</w:t>
      </w:r>
    </w:p>
    <w:p w:rsidR="00A81780" w:rsidRDefault="00A81780" w:rsidP="00A81780">
      <w:pPr>
        <w:spacing w:line="360" w:lineRule="auto"/>
        <w:ind w:left="360"/>
        <w:rPr>
          <w:b/>
          <w:bCs/>
          <w:i/>
          <w:lang w:val="sr-Latn-BA"/>
        </w:rPr>
      </w:pPr>
      <w:r w:rsidRPr="001012AF">
        <w:rPr>
          <w:bCs/>
          <w:lang w:val="sr-Latn-BA"/>
        </w:rPr>
        <w:t>(</w:t>
      </w:r>
      <w:hyperlink r:id="rId42" w:history="1">
        <w:r w:rsidRPr="001012AF">
          <w:rPr>
            <w:rStyle w:val="Hyperlink"/>
            <w:bCs/>
            <w:color w:val="auto"/>
            <w:lang w:val="sr-Latn-BA"/>
          </w:rPr>
          <w:t>http://dx.doi.org/10.4067/S0716-97602013000100005</w:t>
        </w:r>
      </w:hyperlink>
      <w:r w:rsidRPr="001012AF">
        <w:rPr>
          <w:bCs/>
          <w:lang w:val="sr-Latn-BA"/>
        </w:rPr>
        <w:t>)</w:t>
      </w:r>
    </w:p>
    <w:p w:rsidR="001012AF" w:rsidRPr="002764CF" w:rsidRDefault="00A81780" w:rsidP="00A81780">
      <w:pPr>
        <w:spacing w:line="360" w:lineRule="auto"/>
        <w:ind w:left="360"/>
      </w:pPr>
      <w:r>
        <w:rPr>
          <w:lang w:val="pl-PL"/>
        </w:rPr>
        <w:t xml:space="preserve">29. </w:t>
      </w:r>
      <w:r w:rsidRPr="00D72F5E">
        <w:rPr>
          <w:lang w:val="pl-PL"/>
        </w:rPr>
        <w:t>Y. Kono, I. Fridovich,</w:t>
      </w:r>
      <w:r w:rsidR="00F52A94">
        <w:rPr>
          <w:lang w:val="sr-Cyrl-BA"/>
        </w:rPr>
        <w:t xml:space="preserve"> </w:t>
      </w:r>
      <w:r w:rsidRPr="00D72F5E">
        <w:rPr>
          <w:i/>
          <w:lang w:val="pl-PL"/>
        </w:rPr>
        <w:t>J. Biol.</w:t>
      </w:r>
      <w:r w:rsidR="00F52A94">
        <w:rPr>
          <w:i/>
          <w:lang w:val="sr-Cyrl-BA"/>
        </w:rPr>
        <w:t xml:space="preserve"> </w:t>
      </w:r>
      <w:r w:rsidR="0082738D" w:rsidRPr="002764CF">
        <w:rPr>
          <w:i/>
        </w:rPr>
        <w:t>Chem.</w:t>
      </w:r>
      <w:r w:rsidR="00F52A94">
        <w:rPr>
          <w:i/>
          <w:lang w:val="sr-Cyrl-BA"/>
        </w:rPr>
        <w:t xml:space="preserve"> </w:t>
      </w:r>
      <w:r w:rsidR="0082738D" w:rsidRPr="002764CF">
        <w:rPr>
          <w:b/>
        </w:rPr>
        <w:t>257</w:t>
      </w:r>
      <w:r w:rsidR="0082738D" w:rsidRPr="002764CF">
        <w:t xml:space="preserve"> (1982) 5751</w:t>
      </w:r>
    </w:p>
    <w:p w:rsidR="00A81780" w:rsidRDefault="00A81780" w:rsidP="00A81780">
      <w:pPr>
        <w:spacing w:line="360" w:lineRule="auto"/>
        <w:ind w:left="360"/>
        <w:rPr>
          <w:lang w:val="bs-Latn-BA"/>
        </w:rPr>
      </w:pPr>
      <w:r w:rsidRPr="00D72F5E">
        <w:rPr>
          <w:lang w:val="bs-Latn-BA"/>
        </w:rPr>
        <w:t>(</w:t>
      </w:r>
      <w:hyperlink r:id="rId43" w:history="1">
        <w:r w:rsidRPr="00D72F5E">
          <w:rPr>
            <w:rStyle w:val="Hyperlink"/>
            <w:color w:val="auto"/>
            <w:lang w:val="bs-Latn-BA"/>
          </w:rPr>
          <w:t>http://www.jbc.org/content/257/10/5751.full.pdf</w:t>
        </w:r>
      </w:hyperlink>
      <w:r w:rsidRPr="00D72F5E">
        <w:rPr>
          <w:lang w:val="bs-Latn-BA"/>
        </w:rPr>
        <w:t>)</w:t>
      </w:r>
    </w:p>
    <w:p w:rsidR="00A81780" w:rsidRDefault="00A81780" w:rsidP="00A81780">
      <w:pPr>
        <w:spacing w:line="360" w:lineRule="auto"/>
        <w:ind w:left="360"/>
      </w:pPr>
      <w:r>
        <w:rPr>
          <w:lang w:val="sr-Latn-BA"/>
        </w:rPr>
        <w:t xml:space="preserve">30. </w:t>
      </w:r>
      <w:r w:rsidRPr="00E91321">
        <w:rPr>
          <w:lang w:val="sr-Latn-BA"/>
        </w:rPr>
        <w:t>E. Pigeolet,</w:t>
      </w:r>
      <w:r w:rsidR="00F52A94">
        <w:rPr>
          <w:lang w:val="sr-Cyrl-BA"/>
        </w:rPr>
        <w:t xml:space="preserve"> </w:t>
      </w:r>
      <w:r w:rsidRPr="00E91321">
        <w:rPr>
          <w:lang w:val="sr-Latn-BA"/>
        </w:rPr>
        <w:t>P. Corbisier,</w:t>
      </w:r>
      <w:r w:rsidR="00F52A94">
        <w:rPr>
          <w:lang w:val="sr-Cyrl-BA"/>
        </w:rPr>
        <w:t xml:space="preserve"> </w:t>
      </w:r>
      <w:r w:rsidRPr="00E91321">
        <w:rPr>
          <w:lang w:val="sr-Latn-BA"/>
        </w:rPr>
        <w:t>A. Houbion, D. Lambert,</w:t>
      </w:r>
      <w:r w:rsidR="00F52A94">
        <w:rPr>
          <w:lang w:val="sr-Cyrl-BA"/>
        </w:rPr>
        <w:t xml:space="preserve"> </w:t>
      </w:r>
      <w:r w:rsidRPr="00E91321">
        <w:rPr>
          <w:lang w:val="sr-Latn-BA"/>
        </w:rPr>
        <w:t>C. Michiels,</w:t>
      </w:r>
      <w:r w:rsidR="00F52A94">
        <w:rPr>
          <w:lang w:val="sr-Cyrl-BA"/>
        </w:rPr>
        <w:t xml:space="preserve"> </w:t>
      </w:r>
      <w:r w:rsidRPr="00E91321">
        <w:rPr>
          <w:lang w:val="sr-Latn-BA"/>
        </w:rPr>
        <w:t>M. Raes,</w:t>
      </w:r>
      <w:r w:rsidR="00F52A94">
        <w:rPr>
          <w:lang w:val="sr-Cyrl-BA"/>
        </w:rPr>
        <w:t xml:space="preserve"> </w:t>
      </w:r>
      <w:r w:rsidRPr="00E91321">
        <w:rPr>
          <w:shd w:val="clear" w:color="auto" w:fill="FFFFFF"/>
          <w:lang w:val="sr-Latn-BA"/>
        </w:rPr>
        <w:t>M. D. Zachary,</w:t>
      </w:r>
      <w:r w:rsidR="00F52A94">
        <w:rPr>
          <w:shd w:val="clear" w:color="auto" w:fill="FFFFFF"/>
          <w:lang w:val="sr-Cyrl-BA"/>
        </w:rPr>
        <w:t xml:space="preserve"> </w:t>
      </w:r>
      <w:r w:rsidRPr="00E91321">
        <w:rPr>
          <w:shd w:val="clear" w:color="auto" w:fill="FFFFFF"/>
          <w:lang w:val="sr-Latn-BA"/>
        </w:rPr>
        <w:t xml:space="preserve">J. Remacle, </w:t>
      </w:r>
      <w:r w:rsidRPr="00E91321">
        <w:rPr>
          <w:i/>
          <w:lang w:val="sr-Latn-BA"/>
        </w:rPr>
        <w:t>Mech. Ageing. Dev.</w:t>
      </w:r>
      <w:r w:rsidR="00F52A94">
        <w:rPr>
          <w:i/>
          <w:lang w:val="sr-Cyrl-BA"/>
        </w:rPr>
        <w:t xml:space="preserve"> </w:t>
      </w:r>
      <w:r w:rsidRPr="00E91321">
        <w:rPr>
          <w:b/>
          <w:lang w:val="sr-Latn-BA"/>
        </w:rPr>
        <w:t>51</w:t>
      </w:r>
      <w:r w:rsidRPr="00E91321">
        <w:rPr>
          <w:lang w:val="sr-Latn-BA"/>
        </w:rPr>
        <w:t xml:space="preserve"> (1990)283</w:t>
      </w:r>
      <w:r w:rsidR="00F52A94">
        <w:rPr>
          <w:lang w:val="sr-Cyrl-BA"/>
        </w:rPr>
        <w:t xml:space="preserve"> </w:t>
      </w:r>
      <w:r w:rsidRPr="00D72F5E">
        <w:t>(</w:t>
      </w:r>
      <w:hyperlink r:id="rId44" w:history="1">
        <w:hyperlink r:id="rId45" w:tgtFrame="_blank" w:tooltip="Persistent link using digital object identifier" w:history="1">
          <w:r w:rsidRPr="00D72F5E">
            <w:rPr>
              <w:rStyle w:val="Hyperlink"/>
              <w:color w:val="auto"/>
            </w:rPr>
            <w:t>https://doi.org/10.1016/0047-6374(90)90078-T</w:t>
          </w:r>
        </w:hyperlink>
        <w:r w:rsidRPr="00D72F5E">
          <w:rPr>
            <w:rStyle w:val="Hyperlink"/>
            <w:color w:val="auto"/>
          </w:rPr>
          <w:t>)</w:t>
        </w:r>
      </w:hyperlink>
    </w:p>
    <w:p w:rsidR="00F52A94" w:rsidRDefault="00A81780" w:rsidP="00A81780">
      <w:pPr>
        <w:spacing w:line="360" w:lineRule="auto"/>
        <w:ind w:left="426"/>
        <w:rPr>
          <w:lang w:val="sr-Cyrl-BA"/>
        </w:rPr>
      </w:pPr>
      <w:r>
        <w:lastRenderedPageBreak/>
        <w:t xml:space="preserve">31. </w:t>
      </w:r>
      <w:r w:rsidR="00007BCC" w:rsidRPr="00D72F5E">
        <w:t>B</w:t>
      </w:r>
      <w:r w:rsidR="00007BCC">
        <w:t xml:space="preserve">. </w:t>
      </w:r>
      <w:r w:rsidR="00007BCC" w:rsidRPr="00D72F5E">
        <w:t>J</w:t>
      </w:r>
      <w:r w:rsidR="00007BCC">
        <w:t xml:space="preserve">. </w:t>
      </w:r>
      <w:r w:rsidRPr="00D72F5E">
        <w:t xml:space="preserve">Simoneaux, </w:t>
      </w:r>
      <w:r w:rsidR="00007BCC" w:rsidRPr="00D72F5E">
        <w:t>T</w:t>
      </w:r>
      <w:r w:rsidR="00007BCC">
        <w:t xml:space="preserve">. </w:t>
      </w:r>
      <w:r w:rsidR="00007BCC" w:rsidRPr="00D72F5E">
        <w:t>J.</w:t>
      </w:r>
      <w:r w:rsidR="00F52A94">
        <w:rPr>
          <w:lang w:val="sr-Cyrl-BA"/>
        </w:rPr>
        <w:t xml:space="preserve"> </w:t>
      </w:r>
      <w:r w:rsidRPr="00D72F5E">
        <w:t>Gould</w:t>
      </w:r>
      <w:r w:rsidR="00007BCC">
        <w:t>,</w:t>
      </w:r>
      <w:r w:rsidRPr="00D72F5E">
        <w:t xml:space="preserve"> Plant Uptake and Metabolism of Triazine Herbicides</w:t>
      </w:r>
      <w:r>
        <w:t>, i</w:t>
      </w:r>
      <w:r w:rsidRPr="00D72F5E">
        <w:t>n</w:t>
      </w:r>
      <w:r w:rsidR="00F52A94">
        <w:rPr>
          <w:lang w:val="sr-Cyrl-BA"/>
        </w:rPr>
        <w:t xml:space="preserve"> </w:t>
      </w:r>
      <w:r w:rsidRPr="00D72F5E">
        <w:t xml:space="preserve">The Triazine Herbicides </w:t>
      </w:r>
      <w:r w:rsidRPr="00D72F5E">
        <w:rPr>
          <w:bCs/>
        </w:rPr>
        <w:t>50 years Revolutionizing Agriculture</w:t>
      </w:r>
      <w:r>
        <w:rPr>
          <w:bCs/>
        </w:rPr>
        <w:t xml:space="preserve">, eds. </w:t>
      </w:r>
      <w:r w:rsidR="00007BCC" w:rsidRPr="00D72F5E">
        <w:rPr>
          <w:bCs/>
        </w:rPr>
        <w:t>H</w:t>
      </w:r>
      <w:r w:rsidR="00007BCC">
        <w:rPr>
          <w:bCs/>
        </w:rPr>
        <w:t xml:space="preserve">. </w:t>
      </w:r>
      <w:r w:rsidR="00007BCC" w:rsidRPr="00D72F5E">
        <w:rPr>
          <w:bCs/>
        </w:rPr>
        <w:t>M</w:t>
      </w:r>
      <w:r w:rsidR="00007BCC">
        <w:rPr>
          <w:bCs/>
        </w:rPr>
        <w:t>.</w:t>
      </w:r>
      <w:r w:rsidR="00F52A94">
        <w:rPr>
          <w:bCs/>
          <w:lang w:val="sr-Cyrl-BA"/>
        </w:rPr>
        <w:t xml:space="preserve"> </w:t>
      </w:r>
      <w:r w:rsidRPr="00D72F5E">
        <w:rPr>
          <w:bCs/>
        </w:rPr>
        <w:t xml:space="preserve">LeBaron, </w:t>
      </w:r>
      <w:r w:rsidR="00007BCC" w:rsidRPr="00D72F5E">
        <w:rPr>
          <w:bCs/>
        </w:rPr>
        <w:t>J</w:t>
      </w:r>
      <w:r w:rsidR="00007BCC">
        <w:rPr>
          <w:bCs/>
        </w:rPr>
        <w:t xml:space="preserve">. </w:t>
      </w:r>
      <w:r w:rsidR="00007BCC" w:rsidRPr="00D72F5E">
        <w:rPr>
          <w:bCs/>
        </w:rPr>
        <w:t>E</w:t>
      </w:r>
      <w:r w:rsidR="00007BCC">
        <w:rPr>
          <w:bCs/>
        </w:rPr>
        <w:t>.</w:t>
      </w:r>
      <w:r w:rsidR="00F52A94">
        <w:rPr>
          <w:bCs/>
          <w:lang w:val="sr-Cyrl-BA"/>
        </w:rPr>
        <w:t xml:space="preserve"> </w:t>
      </w:r>
      <w:r w:rsidRPr="00D72F5E">
        <w:rPr>
          <w:bCs/>
        </w:rPr>
        <w:t>McFarland,</w:t>
      </w:r>
      <w:r w:rsidR="00F52A94">
        <w:rPr>
          <w:bCs/>
          <w:lang w:val="sr-Cyrl-BA"/>
        </w:rPr>
        <w:t xml:space="preserve"> </w:t>
      </w:r>
      <w:r w:rsidR="00007BCC" w:rsidRPr="00D72F5E">
        <w:rPr>
          <w:bCs/>
        </w:rPr>
        <w:t>O</w:t>
      </w:r>
      <w:r w:rsidR="00007BCC">
        <w:rPr>
          <w:bCs/>
        </w:rPr>
        <w:t xml:space="preserve">. </w:t>
      </w:r>
      <w:r w:rsidR="00007BCC" w:rsidRPr="00D72F5E">
        <w:rPr>
          <w:bCs/>
        </w:rPr>
        <w:t>C</w:t>
      </w:r>
      <w:r w:rsidR="00007BCC">
        <w:rPr>
          <w:bCs/>
        </w:rPr>
        <w:t>.</w:t>
      </w:r>
      <w:r w:rsidR="00F52A94">
        <w:rPr>
          <w:bCs/>
          <w:lang w:val="sr-Cyrl-BA"/>
        </w:rPr>
        <w:t xml:space="preserve"> </w:t>
      </w:r>
      <w:r w:rsidRPr="00D72F5E">
        <w:rPr>
          <w:bCs/>
        </w:rPr>
        <w:t xml:space="preserve">Burnside, Elsevier, </w:t>
      </w:r>
      <w:r w:rsidRPr="00D72F5E">
        <w:t>2008</w:t>
      </w:r>
      <w:r w:rsidRPr="00D72F5E">
        <w:rPr>
          <w:bCs/>
        </w:rPr>
        <w:t>, p</w:t>
      </w:r>
      <w:r>
        <w:rPr>
          <w:bCs/>
        </w:rPr>
        <w:t>.</w:t>
      </w:r>
      <w:r w:rsidRPr="00D72F5E">
        <w:t xml:space="preserve"> 73</w:t>
      </w:r>
    </w:p>
    <w:p w:rsidR="00A81780" w:rsidRPr="00F52A94" w:rsidRDefault="0082738D" w:rsidP="00A81780">
      <w:pPr>
        <w:spacing w:line="360" w:lineRule="auto"/>
        <w:ind w:left="426"/>
        <w:rPr>
          <w:lang w:val="sr-Cyrl-BA"/>
        </w:rPr>
      </w:pPr>
      <w:r w:rsidRPr="0082738D">
        <w:rPr>
          <w:lang w:val="sr-Cyrl-BA"/>
        </w:rPr>
        <w:t>(</w:t>
      </w:r>
      <w:hyperlink r:id="rId46" w:history="1">
        <w:r w:rsidR="00A81780" w:rsidRPr="00D72F5E">
          <w:rPr>
            <w:rStyle w:val="Hyperlink"/>
            <w:color w:val="auto"/>
          </w:rPr>
          <w:t>http</w:t>
        </w:r>
        <w:r w:rsidRPr="0082738D">
          <w:rPr>
            <w:rStyle w:val="Hyperlink"/>
            <w:color w:val="auto"/>
            <w:lang w:val="sr-Cyrl-BA"/>
          </w:rPr>
          <w:t>://</w:t>
        </w:r>
        <w:r w:rsidR="00A81780" w:rsidRPr="00D72F5E">
          <w:rPr>
            <w:rStyle w:val="Hyperlink"/>
            <w:color w:val="auto"/>
          </w:rPr>
          <w:t>base</w:t>
        </w:r>
        <w:r w:rsidRPr="0082738D">
          <w:rPr>
            <w:rStyle w:val="Hyperlink"/>
            <w:color w:val="auto"/>
            <w:lang w:val="sr-Cyrl-BA"/>
          </w:rPr>
          <w:t>.</w:t>
        </w:r>
        <w:r w:rsidR="00A81780" w:rsidRPr="00D72F5E">
          <w:rPr>
            <w:rStyle w:val="Hyperlink"/>
            <w:color w:val="auto"/>
          </w:rPr>
          <w:t>dnsgb</w:t>
        </w:r>
        <w:r w:rsidRPr="0082738D">
          <w:rPr>
            <w:rStyle w:val="Hyperlink"/>
            <w:color w:val="auto"/>
            <w:lang w:val="sr-Cyrl-BA"/>
          </w:rPr>
          <w:t>.</w:t>
        </w:r>
        <w:r w:rsidR="00A81780" w:rsidRPr="00D72F5E">
          <w:rPr>
            <w:rStyle w:val="Hyperlink"/>
            <w:color w:val="auto"/>
          </w:rPr>
          <w:t>com</w:t>
        </w:r>
        <w:r w:rsidRPr="0082738D">
          <w:rPr>
            <w:rStyle w:val="Hyperlink"/>
            <w:color w:val="auto"/>
            <w:lang w:val="sr-Cyrl-BA"/>
          </w:rPr>
          <w:t>.</w:t>
        </w:r>
        <w:r w:rsidR="00A81780" w:rsidRPr="00D72F5E">
          <w:rPr>
            <w:rStyle w:val="Hyperlink"/>
            <w:color w:val="auto"/>
          </w:rPr>
          <w:t>ua</w:t>
        </w:r>
        <w:r w:rsidRPr="0082738D">
          <w:rPr>
            <w:rStyle w:val="Hyperlink"/>
            <w:color w:val="auto"/>
            <w:lang w:val="sr-Cyrl-BA"/>
          </w:rPr>
          <w:t>/</w:t>
        </w:r>
        <w:r w:rsidR="00A81780" w:rsidRPr="00D72F5E">
          <w:rPr>
            <w:rStyle w:val="Hyperlink"/>
            <w:color w:val="auto"/>
          </w:rPr>
          <w:t>files</w:t>
        </w:r>
        <w:r w:rsidRPr="0082738D">
          <w:rPr>
            <w:rStyle w:val="Hyperlink"/>
            <w:color w:val="auto"/>
            <w:lang w:val="sr-Cyrl-BA"/>
          </w:rPr>
          <w:t>/</w:t>
        </w:r>
        <w:r w:rsidR="00A81780" w:rsidRPr="00D72F5E">
          <w:rPr>
            <w:rStyle w:val="Hyperlink"/>
            <w:color w:val="auto"/>
          </w:rPr>
          <w:t>book</w:t>
        </w:r>
        <w:r w:rsidRPr="0082738D">
          <w:rPr>
            <w:rStyle w:val="Hyperlink"/>
            <w:color w:val="auto"/>
            <w:lang w:val="sr-Cyrl-BA"/>
          </w:rPr>
          <w:t>/</w:t>
        </w:r>
        <w:r w:rsidR="00A81780" w:rsidRPr="00D72F5E">
          <w:rPr>
            <w:rStyle w:val="Hyperlink"/>
            <w:color w:val="auto"/>
          </w:rPr>
          <w:t>Agriculture</w:t>
        </w:r>
        <w:r w:rsidRPr="0082738D">
          <w:rPr>
            <w:rStyle w:val="Hyperlink"/>
            <w:color w:val="auto"/>
            <w:lang w:val="sr-Cyrl-BA"/>
          </w:rPr>
          <w:t>/</w:t>
        </w:r>
        <w:r w:rsidR="00A81780" w:rsidRPr="00D72F5E">
          <w:rPr>
            <w:rStyle w:val="Hyperlink"/>
            <w:color w:val="auto"/>
          </w:rPr>
          <w:t>Pesticides</w:t>
        </w:r>
        <w:r w:rsidRPr="0082738D">
          <w:rPr>
            <w:rStyle w:val="Hyperlink"/>
            <w:color w:val="auto"/>
            <w:lang w:val="sr-Cyrl-BA"/>
          </w:rPr>
          <w:t>/</w:t>
        </w:r>
        <w:r w:rsidR="00A81780" w:rsidRPr="00D72F5E">
          <w:rPr>
            <w:rStyle w:val="Hyperlink"/>
            <w:color w:val="auto"/>
          </w:rPr>
          <w:t>The</w:t>
        </w:r>
        <w:r w:rsidRPr="0082738D">
          <w:rPr>
            <w:rStyle w:val="Hyperlink"/>
            <w:color w:val="auto"/>
            <w:lang w:val="sr-Cyrl-BA"/>
          </w:rPr>
          <w:t>-</w:t>
        </w:r>
        <w:r w:rsidR="00A81780" w:rsidRPr="00D72F5E">
          <w:rPr>
            <w:rStyle w:val="Hyperlink"/>
            <w:color w:val="auto"/>
          </w:rPr>
          <w:t>Triazine</w:t>
        </w:r>
        <w:r w:rsidRPr="0082738D">
          <w:rPr>
            <w:rStyle w:val="Hyperlink"/>
            <w:color w:val="auto"/>
            <w:lang w:val="sr-Cyrl-BA"/>
          </w:rPr>
          <w:t>-</w:t>
        </w:r>
        <w:r w:rsidR="00A81780" w:rsidRPr="00D72F5E">
          <w:rPr>
            <w:rStyle w:val="Hyperlink"/>
            <w:color w:val="auto"/>
          </w:rPr>
          <w:t>Herbicides</w:t>
        </w:r>
        <w:r w:rsidRPr="0082738D">
          <w:rPr>
            <w:rStyle w:val="Hyperlink"/>
            <w:color w:val="auto"/>
            <w:lang w:val="sr-Cyrl-BA"/>
          </w:rPr>
          <w:t>.</w:t>
        </w:r>
        <w:r w:rsidR="00A81780" w:rsidRPr="00D72F5E">
          <w:rPr>
            <w:rStyle w:val="Hyperlink"/>
            <w:color w:val="auto"/>
          </w:rPr>
          <w:t>pdf</w:t>
        </w:r>
      </w:hyperlink>
      <w:r w:rsidRPr="0082738D">
        <w:rPr>
          <w:lang w:val="sr-Cyrl-BA"/>
        </w:rPr>
        <w:t>)</w:t>
      </w:r>
    </w:p>
    <w:p w:rsidR="00A81780" w:rsidRDefault="00A81780">
      <w:pPr>
        <w:spacing w:line="360" w:lineRule="auto"/>
        <w:ind w:left="360"/>
        <w:rPr>
          <w:lang w:val="sr-Latn-BA"/>
        </w:rPr>
      </w:pPr>
      <w:r>
        <w:t>32.</w:t>
      </w:r>
      <w:r w:rsidRPr="00D72F5E">
        <w:t xml:space="preserve"> V. M. Neefjes,</w:t>
      </w:r>
      <w:r w:rsidR="00F52A94">
        <w:rPr>
          <w:lang w:val="sr-Cyrl-BA"/>
        </w:rPr>
        <w:t xml:space="preserve"> </w:t>
      </w:r>
      <w:r w:rsidRPr="00D72F5E">
        <w:t>C. T. Evelo, L. G. Baars, C. E. Blanco,</w:t>
      </w:r>
      <w:r w:rsidR="00F52A94">
        <w:rPr>
          <w:lang w:val="sr-Cyrl-BA"/>
        </w:rPr>
        <w:t xml:space="preserve"> </w:t>
      </w:r>
      <w:r w:rsidRPr="00D72F5E">
        <w:rPr>
          <w:i/>
        </w:rPr>
        <w:t>Arch. Dis. Child. Fetal Neonatal Ed.</w:t>
      </w:r>
      <w:r w:rsidR="00F52A94">
        <w:rPr>
          <w:i/>
          <w:lang w:val="sr-Cyrl-BA"/>
        </w:rPr>
        <w:t xml:space="preserve"> </w:t>
      </w:r>
      <w:r w:rsidRPr="00D72F5E">
        <w:rPr>
          <w:b/>
        </w:rPr>
        <w:t>81</w:t>
      </w:r>
      <w:r w:rsidRPr="00D72F5E">
        <w:t xml:space="preserve"> (1999) F130</w:t>
      </w:r>
      <w:r w:rsidR="00F52A94">
        <w:rPr>
          <w:lang w:val="sr-Cyrl-BA"/>
        </w:rPr>
        <w:t xml:space="preserve"> </w:t>
      </w:r>
      <w:r w:rsidRPr="00D72F5E">
        <w:rPr>
          <w:lang w:val="sr-Latn-BA"/>
        </w:rPr>
        <w:t>(</w:t>
      </w:r>
      <w:hyperlink r:id="rId47" w:tgtFrame="_new" w:history="1">
        <w:r w:rsidRPr="00D72F5E">
          <w:rPr>
            <w:rStyle w:val="Hyperlink"/>
            <w:color w:val="auto"/>
            <w:lang w:val="sr-Latn-BA"/>
          </w:rPr>
          <w:t>http://dx.doi.org/10.1136/fn.81.2.F130</w:t>
        </w:r>
      </w:hyperlink>
      <w:r w:rsidRPr="00D72F5E">
        <w:rPr>
          <w:lang w:val="sr-Latn-BA"/>
        </w:rPr>
        <w:t>)</w:t>
      </w:r>
    </w:p>
    <w:p w:rsidR="001F7F4A" w:rsidRDefault="001F7F4A" w:rsidP="001F7F4A">
      <w:pPr>
        <w:spacing w:line="360" w:lineRule="auto"/>
        <w:ind w:left="426"/>
      </w:pPr>
    </w:p>
    <w:p w:rsidR="00552C16" w:rsidRDefault="00552C16" w:rsidP="001F7F4A">
      <w:pPr>
        <w:spacing w:line="360" w:lineRule="auto"/>
        <w:rPr>
          <w:shd w:val="clear" w:color="auto" w:fill="FFFFFF"/>
        </w:rPr>
      </w:pPr>
    </w:p>
    <w:sectPr w:rsidR="00552C16" w:rsidSect="00B2115D">
      <w:headerReference w:type="even" r:id="rId48"/>
      <w:headerReference w:type="default" r:id="rId49"/>
      <w:footerReference w:type="even" r:id="rId50"/>
      <w:footerReference w:type="default" r:id="rId51"/>
      <w:headerReference w:type="first" r:id="rId52"/>
      <w:footerReference w:type="first" r:id="rId53"/>
      <w:pgSz w:w="11907" w:h="16839" w:code="9"/>
      <w:pgMar w:top="1440" w:right="1440" w:bottom="1440" w:left="1440" w:header="720" w:footer="720" w:gutter="0"/>
      <w:lnNumType w:countBy="1" w:restart="continuous"/>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TOSHIBA" w:date="2018-12-26T19:03:00Z" w:initials="T">
    <w:p w:rsidR="0053620A" w:rsidRDefault="0053620A">
      <w:pPr>
        <w:pStyle w:val="CommentText"/>
      </w:pPr>
      <w:r>
        <w:rPr>
          <w:rStyle w:val="CommentReference"/>
        </w:rPr>
        <w:annotationRef/>
      </w:r>
      <w:r>
        <w:t>We changed.</w:t>
      </w:r>
    </w:p>
  </w:comment>
  <w:comment w:id="1" w:author="Ed.office2" w:date="2018-12-26T19:03:00Z" w:initials="R_2">
    <w:p w:rsidR="0095679B" w:rsidRDefault="0095679B">
      <w:pPr>
        <w:pStyle w:val="CommentText"/>
      </w:pPr>
      <w:r>
        <w:rPr>
          <w:rStyle w:val="CommentReference"/>
        </w:rPr>
        <w:annotationRef/>
      </w:r>
      <w:r>
        <w:t>keywords should not contain words from the paper title!</w:t>
      </w:r>
    </w:p>
  </w:comment>
  <w:comment w:id="4" w:author="TOSHIBA" w:date="2018-12-26T19:03:00Z" w:initials="T">
    <w:p w:rsidR="003E52FF" w:rsidRDefault="003E52FF">
      <w:pPr>
        <w:pStyle w:val="CommentText"/>
      </w:pPr>
      <w:r>
        <w:rPr>
          <w:rStyle w:val="CommentReference"/>
        </w:rPr>
        <w:annotationRef/>
      </w:r>
      <w:r>
        <w:t>We corrected.</w:t>
      </w:r>
    </w:p>
  </w:comment>
  <w:comment w:id="3" w:author="Ed.office2" w:date="2018-12-26T19:03:00Z" w:initials="R_2">
    <w:p w:rsidR="0095679B" w:rsidRDefault="0095679B">
      <w:pPr>
        <w:pStyle w:val="CommentText"/>
      </w:pPr>
      <w:r>
        <w:rPr>
          <w:rStyle w:val="CommentReference"/>
        </w:rPr>
        <w:annotationRef/>
      </w:r>
      <w:r>
        <w:t>Each Fig should be numbered, and mentioned in the text!</w:t>
      </w:r>
    </w:p>
  </w:comment>
  <w:comment w:id="5" w:author="Ed.office2" w:date="2018-12-26T19:03:00Z" w:initials="R_2">
    <w:p w:rsidR="0095679B" w:rsidRDefault="0095679B">
      <w:pPr>
        <w:pStyle w:val="CommentText"/>
      </w:pPr>
      <w:r>
        <w:rPr>
          <w:rStyle w:val="CommentReference"/>
        </w:rPr>
        <w:annotationRef/>
      </w:r>
      <w:r>
        <w:t>an enzyme</w:t>
      </w:r>
      <w:r w:rsidRPr="008A7DEF">
        <w:rPr>
          <w:highlight w:val="yellow"/>
        </w:rPr>
        <w:t>s</w:t>
      </w:r>
      <w:r>
        <w:t>???</w:t>
      </w:r>
    </w:p>
  </w:comment>
  <w:comment w:id="6" w:author="TOSHIBA" w:date="2018-12-26T19:03:00Z" w:initials="T">
    <w:p w:rsidR="00CA34A8" w:rsidRDefault="00CA34A8">
      <w:pPr>
        <w:pStyle w:val="CommentText"/>
      </w:pPr>
      <w:r>
        <w:rPr>
          <w:rStyle w:val="CommentReference"/>
        </w:rPr>
        <w:annotationRef/>
      </w:r>
      <w:r>
        <w:t>We changed in enzymes.</w:t>
      </w:r>
    </w:p>
  </w:comment>
  <w:comment w:id="7" w:author="Ed.office2" w:date="2018-12-26T19:03:00Z" w:initials="R_2">
    <w:p w:rsidR="0095679B" w:rsidRDefault="0095679B">
      <w:pPr>
        <w:pStyle w:val="CommentText"/>
      </w:pPr>
      <w:r>
        <w:rPr>
          <w:rStyle w:val="CommentReference"/>
        </w:rPr>
        <w:annotationRef/>
      </w:r>
      <w:r>
        <w:t xml:space="preserve">please define Hb! </w:t>
      </w:r>
      <w:r w:rsidRPr="004D0E76">
        <w:t>hemoglobin</w:t>
      </w:r>
      <w:r>
        <w:t>?</w:t>
      </w:r>
    </w:p>
  </w:comment>
  <w:comment w:id="8" w:author="TOSHIBA" w:date="2018-12-26T19:03:00Z" w:initials="T">
    <w:p w:rsidR="003E52FF" w:rsidRDefault="003E52FF">
      <w:pPr>
        <w:pStyle w:val="CommentText"/>
      </w:pPr>
      <w:r>
        <w:rPr>
          <w:rStyle w:val="CommentReference"/>
        </w:rPr>
        <w:annotationRef/>
      </w:r>
      <w:r>
        <w:t>We defined</w:t>
      </w:r>
      <w:r w:rsidR="00633EA9">
        <w:t xml:space="preserve"> (page 5, line 135)</w:t>
      </w:r>
      <w:r>
        <w:t>.</w:t>
      </w:r>
    </w:p>
  </w:comment>
  <w:comment w:id="10" w:author="Ed.office2" w:date="2018-12-26T19:03:00Z" w:initials="R_2">
    <w:p w:rsidR="0095679B" w:rsidRDefault="0095679B">
      <w:pPr>
        <w:pStyle w:val="CommentText"/>
      </w:pPr>
      <w:r>
        <w:rPr>
          <w:rStyle w:val="CommentReference"/>
        </w:rPr>
        <w:annotationRef/>
      </w:r>
      <w:r>
        <w:t>(</w:t>
      </w:r>
      <w:r w:rsidRPr="00AF0469">
        <w:sym w:font="Symbol" w:char="F06D"/>
      </w:r>
      <w:r w:rsidRPr="00AF0469">
        <w:t>M GSH/min</w:t>
      </w:r>
      <w:r>
        <w:t>)</w:t>
      </w:r>
      <w:r w:rsidRPr="00AF0469">
        <w:t>/g Hb</w:t>
      </w:r>
      <w:r>
        <w:t xml:space="preserve"> or </w:t>
      </w:r>
      <w:r w:rsidRPr="00AF0469">
        <w:sym w:font="Symbol" w:char="F06D"/>
      </w:r>
      <w:r w:rsidRPr="00AF0469">
        <w:t>M GSH/</w:t>
      </w:r>
      <w:r>
        <w:t>(</w:t>
      </w:r>
      <w:r w:rsidRPr="00AF0469">
        <w:t>min/g Hb</w:t>
      </w:r>
      <w:r>
        <w:t>)?</w:t>
      </w:r>
    </w:p>
  </w:comment>
  <w:comment w:id="9" w:author="TOSHIBA" w:date="2018-12-26T19:03:00Z" w:initials="T">
    <w:p w:rsidR="003E52FF" w:rsidRDefault="003E52FF">
      <w:pPr>
        <w:pStyle w:val="CommentText"/>
      </w:pPr>
      <w:r>
        <w:rPr>
          <w:rStyle w:val="CommentReference"/>
        </w:rPr>
        <w:annotationRef/>
      </w:r>
      <w:r>
        <w:t>We changed</w:t>
      </w:r>
      <w:r w:rsidR="00633EA9">
        <w:t xml:space="preserve"> in this way </w:t>
      </w:r>
      <w:r w:rsidR="00633EA9" w:rsidRPr="00633EA9">
        <w:rPr>
          <w:color w:val="4F81BD" w:themeColor="accent1"/>
          <w:highlight w:val="yellow"/>
        </w:rPr>
        <w:t xml:space="preserve"> </w:t>
      </w:r>
      <w:r w:rsidR="00633EA9" w:rsidRPr="003E52FF">
        <w:rPr>
          <w:color w:val="4F81BD" w:themeColor="accent1"/>
          <w:highlight w:val="yellow"/>
        </w:rPr>
        <w:t>(</w:t>
      </w:r>
      <w:r w:rsidR="00633EA9" w:rsidRPr="003E52FF">
        <w:rPr>
          <w:color w:val="4F81BD" w:themeColor="accent1"/>
          <w:highlight w:val="yellow"/>
        </w:rPr>
        <w:sym w:font="Symbol" w:char="F06D"/>
      </w:r>
      <w:r w:rsidR="00633EA9" w:rsidRPr="003E52FF">
        <w:rPr>
          <w:color w:val="4F81BD" w:themeColor="accent1"/>
          <w:highlight w:val="yellow"/>
        </w:rPr>
        <w:t>M GSH/min x g Hb</w:t>
      </w:r>
      <w:r w:rsidR="00633EA9" w:rsidRPr="003E52FF">
        <w:rPr>
          <w:rStyle w:val="CommentReference"/>
          <w:highlight w:val="yellow"/>
        </w:rPr>
        <w:annotationRef/>
      </w:r>
      <w:r w:rsidR="00633EA9">
        <w:rPr>
          <w:color w:val="4F81BD" w:themeColor="accent1"/>
        </w:rPr>
        <w:t>).</w:t>
      </w:r>
    </w:p>
  </w:comment>
  <w:comment w:id="11" w:author="Ed.office2" w:date="2018-12-26T19:03:00Z" w:initials="R_2">
    <w:p w:rsidR="0095679B" w:rsidRDefault="0095679B">
      <w:pPr>
        <w:pStyle w:val="CommentText"/>
      </w:pPr>
      <w:r>
        <w:rPr>
          <w:rStyle w:val="CommentReference"/>
        </w:rPr>
        <w:annotationRef/>
      </w:r>
      <w:r>
        <w:t xml:space="preserve">please define </w:t>
      </w:r>
      <w:r w:rsidRPr="00AF0469">
        <w:rPr>
          <w:i/>
        </w:rPr>
        <w:t>R</w:t>
      </w:r>
      <w:r w:rsidRPr="00AF0469">
        <w:rPr>
          <w:vertAlign w:val="subscript"/>
        </w:rPr>
        <w:t>f</w:t>
      </w:r>
    </w:p>
  </w:comment>
  <w:comment w:id="12" w:author="TOSHIBA" w:date="2018-12-26T19:03:00Z" w:initials="T">
    <w:p w:rsidR="00CF6C31" w:rsidRDefault="00CF6C31">
      <w:pPr>
        <w:pStyle w:val="CommentText"/>
      </w:pPr>
      <w:r>
        <w:rPr>
          <w:rStyle w:val="CommentReference"/>
        </w:rPr>
        <w:annotationRef/>
      </w:r>
      <w:r>
        <w:t>We defined.</w:t>
      </w:r>
    </w:p>
  </w:comment>
  <w:comment w:id="13" w:author="Ed.office2" w:date="2018-12-26T19:03:00Z" w:initials="R_2">
    <w:p w:rsidR="0095679B" w:rsidRDefault="0095679B">
      <w:pPr>
        <w:pStyle w:val="CommentText"/>
      </w:pPr>
      <w:r>
        <w:rPr>
          <w:rStyle w:val="CommentReference"/>
        </w:rPr>
        <w:annotationRef/>
      </w:r>
      <w:r>
        <w:t>?? g</w:t>
      </w:r>
      <w:r w:rsidRPr="00AF0469">
        <w:rPr>
          <w:vertAlign w:val="subscript"/>
        </w:rPr>
        <w:t>Hb</w:t>
      </w:r>
      <w:r>
        <w:t xml:space="preserve"> or g Hb</w:t>
      </w:r>
    </w:p>
  </w:comment>
  <w:comment w:id="14" w:author="TOSHIBA" w:date="2018-12-26T19:03:00Z" w:initials="T">
    <w:p w:rsidR="0095679B" w:rsidRDefault="0095679B">
      <w:pPr>
        <w:pStyle w:val="CommentText"/>
      </w:pPr>
      <w:r>
        <w:rPr>
          <w:rStyle w:val="CommentReference"/>
        </w:rPr>
        <w:annotationRef/>
      </w:r>
      <w:r w:rsidR="0012696E" w:rsidRPr="0012696E">
        <w:t>For all images, the Y-axis has been changed by adding (for SOD1 - Total SOD1 relative activity, for CAT - Total CAT relative activity, and for GST - Total GST activity). For the X-axis, we have added the name Treatmens</w:t>
      </w:r>
      <w:r w:rsidR="0012696E">
        <w:t>.</w:t>
      </w:r>
    </w:p>
  </w:comment>
  <w:comment w:id="15" w:author="Ed.office2" w:date="2018-12-26T19:03:00Z" w:initials="R_2">
    <w:p w:rsidR="0095679B" w:rsidRDefault="0095679B">
      <w:pPr>
        <w:pStyle w:val="CommentText"/>
      </w:pPr>
      <w:r>
        <w:rPr>
          <w:rStyle w:val="CommentReference"/>
        </w:rPr>
        <w:annotationRef/>
      </w:r>
      <w:r>
        <w:t>y-axis: U/g Hb of what? Activity, U / g Hb?</w:t>
      </w:r>
    </w:p>
  </w:comment>
  <w:comment w:id="16" w:author="Ed.office2" w:date="2018-12-26T19:03:00Z" w:initials="R_2">
    <w:p w:rsidR="0095679B" w:rsidRDefault="0095679B">
      <w:pPr>
        <w:pStyle w:val="CommentText"/>
      </w:pPr>
      <w:r>
        <w:rPr>
          <w:rStyle w:val="CommentReference"/>
        </w:rPr>
        <w:annotationRef/>
      </w:r>
      <w:r w:rsidRPr="00AF0469">
        <w:t>rat</w:t>
      </w:r>
      <w:r>
        <w:t>’</w:t>
      </w:r>
      <w:r w:rsidRPr="00AF0469">
        <w:t>s</w:t>
      </w:r>
      <w:r>
        <w:t xml:space="preserve"> ??</w:t>
      </w:r>
    </w:p>
  </w:comment>
  <w:comment w:id="17" w:author="TOSHIBA" w:date="2018-12-26T19:03:00Z" w:initials="T">
    <w:p w:rsidR="00FF181A" w:rsidRDefault="00FF181A">
      <w:pPr>
        <w:pStyle w:val="CommentText"/>
      </w:pPr>
      <w:r>
        <w:rPr>
          <w:rStyle w:val="CommentReference"/>
        </w:rPr>
        <w:annotationRef/>
      </w:r>
      <w:r>
        <w:t>We changed.</w:t>
      </w:r>
    </w:p>
  </w:comment>
  <w:comment w:id="18" w:author="Ed.office2" w:date="2018-12-26T19:03:00Z" w:initials="R_2">
    <w:p w:rsidR="0095679B" w:rsidRDefault="0095679B">
      <w:pPr>
        <w:pStyle w:val="CommentText"/>
      </w:pPr>
      <w:r>
        <w:rPr>
          <w:rStyle w:val="CommentReference"/>
        </w:rPr>
        <w:annotationRef/>
      </w:r>
      <w:r>
        <w:t>Same as for Fig 2</w:t>
      </w:r>
    </w:p>
  </w:comment>
  <w:comment w:id="19" w:author="Ed.office2" w:date="2018-12-26T19:03:00Z" w:initials="R_2">
    <w:p w:rsidR="0095679B" w:rsidRDefault="0095679B">
      <w:pPr>
        <w:pStyle w:val="CommentText"/>
      </w:pPr>
      <w:r>
        <w:rPr>
          <w:rStyle w:val="CommentReference"/>
        </w:rPr>
        <w:annotationRef/>
      </w:r>
      <w:r>
        <w:t>same as for Fig 2</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7132" w:rsidRDefault="002E7132" w:rsidP="005E231E">
      <w:r>
        <w:separator/>
      </w:r>
    </w:p>
  </w:endnote>
  <w:endnote w:type="continuationSeparator" w:id="1">
    <w:p w:rsidR="002E7132" w:rsidRDefault="002E7132" w:rsidP="005E23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ETRO">
    <w:altName w:val="Arial Unicode MS"/>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79B" w:rsidRDefault="0095679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755639"/>
      <w:docPartObj>
        <w:docPartGallery w:val="Page Numbers (Bottom of Page)"/>
        <w:docPartUnique/>
      </w:docPartObj>
    </w:sdtPr>
    <w:sdtContent>
      <w:p w:rsidR="0095679B" w:rsidRDefault="0095679B">
        <w:pPr>
          <w:pStyle w:val="Footer"/>
          <w:jc w:val="center"/>
        </w:pPr>
        <w:fldSimple w:instr=" PAGE   \* MERGEFORMAT ">
          <w:r w:rsidR="005A2900">
            <w:rPr>
              <w:noProof/>
            </w:rPr>
            <w:t>13</w:t>
          </w:r>
        </w:fldSimple>
      </w:p>
    </w:sdtContent>
  </w:sdt>
  <w:p w:rsidR="0095679B" w:rsidRDefault="0095679B" w:rsidP="005E231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79B" w:rsidRDefault="009567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7132" w:rsidRDefault="002E7132" w:rsidP="005E231E">
      <w:r>
        <w:separator/>
      </w:r>
    </w:p>
  </w:footnote>
  <w:footnote w:type="continuationSeparator" w:id="1">
    <w:p w:rsidR="002E7132" w:rsidRDefault="002E7132" w:rsidP="005E23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79B" w:rsidRDefault="0095679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79B" w:rsidRDefault="0095679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79B" w:rsidRDefault="0095679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29B6"/>
    <w:multiLevelType w:val="hybridMultilevel"/>
    <w:tmpl w:val="AB988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7D1C5C"/>
    <w:multiLevelType w:val="hybridMultilevel"/>
    <w:tmpl w:val="0C3EF196"/>
    <w:lvl w:ilvl="0" w:tplc="8A80CC96">
      <w:start w:val="1"/>
      <w:numFmt w:val="decimal"/>
      <w:lvlText w:val="%1."/>
      <w:lvlJc w:val="left"/>
      <w:pPr>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BF37D7"/>
    <w:multiLevelType w:val="multilevel"/>
    <w:tmpl w:val="F9141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061363"/>
    <w:multiLevelType w:val="multilevel"/>
    <w:tmpl w:val="DE5C2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EA2A9F"/>
    <w:multiLevelType w:val="hybridMultilevel"/>
    <w:tmpl w:val="7C8454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08310C"/>
    <w:multiLevelType w:val="multilevel"/>
    <w:tmpl w:val="C3CE6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835013"/>
    <w:multiLevelType w:val="hybridMultilevel"/>
    <w:tmpl w:val="4956B5C8"/>
    <w:lvl w:ilvl="0" w:tplc="094ACAEC">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547B2BD1"/>
    <w:multiLevelType w:val="multilevel"/>
    <w:tmpl w:val="44EA3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607447"/>
    <w:multiLevelType w:val="hybridMultilevel"/>
    <w:tmpl w:val="2698F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C03380"/>
    <w:multiLevelType w:val="hybridMultilevel"/>
    <w:tmpl w:val="58E4B07A"/>
    <w:lvl w:ilvl="0" w:tplc="D966CD32">
      <w:start w:val="1"/>
      <w:numFmt w:val="decimal"/>
      <w:lvlText w:val="%1."/>
      <w:lvlJc w:val="left"/>
      <w:pPr>
        <w:ind w:left="360" w:hanging="360"/>
      </w:pPr>
      <w:rPr>
        <w:rFonts w:cs="Times New Roman" w:hint="default"/>
        <w:i w:val="0"/>
        <w:iCs w:val="0"/>
        <w:sz w:val="24"/>
        <w:szCs w:val="24"/>
      </w:rPr>
    </w:lvl>
    <w:lvl w:ilvl="1" w:tplc="141A0019">
      <w:start w:val="1"/>
      <w:numFmt w:val="lowerLetter"/>
      <w:lvlText w:val="%2."/>
      <w:lvlJc w:val="left"/>
      <w:pPr>
        <w:ind w:left="1080" w:hanging="360"/>
      </w:pPr>
      <w:rPr>
        <w:rFonts w:cs="Times New Roman"/>
      </w:rPr>
    </w:lvl>
    <w:lvl w:ilvl="2" w:tplc="141A001B">
      <w:start w:val="1"/>
      <w:numFmt w:val="lowerRoman"/>
      <w:lvlText w:val="%3."/>
      <w:lvlJc w:val="right"/>
      <w:pPr>
        <w:ind w:left="1800" w:hanging="180"/>
      </w:pPr>
      <w:rPr>
        <w:rFonts w:cs="Times New Roman"/>
      </w:rPr>
    </w:lvl>
    <w:lvl w:ilvl="3" w:tplc="141A000F">
      <w:start w:val="1"/>
      <w:numFmt w:val="decimal"/>
      <w:lvlText w:val="%4."/>
      <w:lvlJc w:val="left"/>
      <w:pPr>
        <w:ind w:left="2520" w:hanging="360"/>
      </w:pPr>
      <w:rPr>
        <w:rFonts w:cs="Times New Roman"/>
      </w:rPr>
    </w:lvl>
    <w:lvl w:ilvl="4" w:tplc="141A0019">
      <w:start w:val="1"/>
      <w:numFmt w:val="lowerLetter"/>
      <w:lvlText w:val="%5."/>
      <w:lvlJc w:val="left"/>
      <w:pPr>
        <w:ind w:left="3240" w:hanging="360"/>
      </w:pPr>
      <w:rPr>
        <w:rFonts w:cs="Times New Roman"/>
      </w:rPr>
    </w:lvl>
    <w:lvl w:ilvl="5" w:tplc="141A001B">
      <w:start w:val="1"/>
      <w:numFmt w:val="lowerRoman"/>
      <w:lvlText w:val="%6."/>
      <w:lvlJc w:val="right"/>
      <w:pPr>
        <w:ind w:left="3960" w:hanging="180"/>
      </w:pPr>
      <w:rPr>
        <w:rFonts w:cs="Times New Roman"/>
      </w:rPr>
    </w:lvl>
    <w:lvl w:ilvl="6" w:tplc="141A000F">
      <w:start w:val="1"/>
      <w:numFmt w:val="decimal"/>
      <w:lvlText w:val="%7."/>
      <w:lvlJc w:val="left"/>
      <w:pPr>
        <w:ind w:left="4680" w:hanging="360"/>
      </w:pPr>
      <w:rPr>
        <w:rFonts w:cs="Times New Roman"/>
      </w:rPr>
    </w:lvl>
    <w:lvl w:ilvl="7" w:tplc="141A0019">
      <w:start w:val="1"/>
      <w:numFmt w:val="lowerLetter"/>
      <w:lvlText w:val="%8."/>
      <w:lvlJc w:val="left"/>
      <w:pPr>
        <w:ind w:left="5400" w:hanging="360"/>
      </w:pPr>
      <w:rPr>
        <w:rFonts w:cs="Times New Roman"/>
      </w:rPr>
    </w:lvl>
    <w:lvl w:ilvl="8" w:tplc="141A001B">
      <w:start w:val="1"/>
      <w:numFmt w:val="lowerRoman"/>
      <w:lvlText w:val="%9."/>
      <w:lvlJc w:val="right"/>
      <w:pPr>
        <w:ind w:left="6120" w:hanging="180"/>
      </w:pPr>
      <w:rPr>
        <w:rFonts w:cs="Times New Roman"/>
      </w:rPr>
    </w:lvl>
  </w:abstractNum>
  <w:abstractNum w:abstractNumId="10">
    <w:nsid w:val="66A10556"/>
    <w:multiLevelType w:val="hybridMultilevel"/>
    <w:tmpl w:val="E5323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3530AE"/>
    <w:multiLevelType w:val="hybridMultilevel"/>
    <w:tmpl w:val="446A0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97A1330"/>
    <w:multiLevelType w:val="multilevel"/>
    <w:tmpl w:val="BA1C4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1"/>
  </w:num>
  <w:num w:numId="4">
    <w:abstractNumId w:val="10"/>
  </w:num>
  <w:num w:numId="5">
    <w:abstractNumId w:val="0"/>
  </w:num>
  <w:num w:numId="6">
    <w:abstractNumId w:val="1"/>
  </w:num>
  <w:num w:numId="7">
    <w:abstractNumId w:val="12"/>
  </w:num>
  <w:num w:numId="8">
    <w:abstractNumId w:val="7"/>
  </w:num>
  <w:num w:numId="9">
    <w:abstractNumId w:val="8"/>
  </w:num>
  <w:num w:numId="10">
    <w:abstractNumId w:val="2"/>
  </w:num>
  <w:num w:numId="11">
    <w:abstractNumId w:val="5"/>
  </w:num>
  <w:num w:numId="12">
    <w:abstractNumId w:val="4"/>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stylePaneFormatFilter w:val="3F01"/>
  <w:trackRevisions/>
  <w:defaultTabStop w:val="720"/>
  <w:hyphenationZone w:val="425"/>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rsids>
    <w:rsidRoot w:val="00851230"/>
    <w:rsid w:val="000007D5"/>
    <w:rsid w:val="0000134E"/>
    <w:rsid w:val="000013BE"/>
    <w:rsid w:val="00002985"/>
    <w:rsid w:val="000031CB"/>
    <w:rsid w:val="00004186"/>
    <w:rsid w:val="0000504D"/>
    <w:rsid w:val="00005154"/>
    <w:rsid w:val="000059DD"/>
    <w:rsid w:val="00005BAF"/>
    <w:rsid w:val="00007BCC"/>
    <w:rsid w:val="00014E40"/>
    <w:rsid w:val="00015175"/>
    <w:rsid w:val="00016C94"/>
    <w:rsid w:val="00017BC1"/>
    <w:rsid w:val="00020841"/>
    <w:rsid w:val="00020EE0"/>
    <w:rsid w:val="00021867"/>
    <w:rsid w:val="00021A29"/>
    <w:rsid w:val="00027357"/>
    <w:rsid w:val="00027AC0"/>
    <w:rsid w:val="00031F48"/>
    <w:rsid w:val="000338D3"/>
    <w:rsid w:val="000359F4"/>
    <w:rsid w:val="00035E74"/>
    <w:rsid w:val="00037A4C"/>
    <w:rsid w:val="00037A5A"/>
    <w:rsid w:val="000419B3"/>
    <w:rsid w:val="00041F7B"/>
    <w:rsid w:val="000450D0"/>
    <w:rsid w:val="0004560F"/>
    <w:rsid w:val="000461CA"/>
    <w:rsid w:val="0004739A"/>
    <w:rsid w:val="000473F7"/>
    <w:rsid w:val="0005201C"/>
    <w:rsid w:val="00052383"/>
    <w:rsid w:val="000546AE"/>
    <w:rsid w:val="00056CEF"/>
    <w:rsid w:val="00060B1D"/>
    <w:rsid w:val="00062EF2"/>
    <w:rsid w:val="00063B21"/>
    <w:rsid w:val="00063C97"/>
    <w:rsid w:val="00063C9E"/>
    <w:rsid w:val="00063EBC"/>
    <w:rsid w:val="000665CB"/>
    <w:rsid w:val="000676AD"/>
    <w:rsid w:val="000702F7"/>
    <w:rsid w:val="0007053F"/>
    <w:rsid w:val="00070E8A"/>
    <w:rsid w:val="000741B9"/>
    <w:rsid w:val="000744AC"/>
    <w:rsid w:val="000753FE"/>
    <w:rsid w:val="00076A08"/>
    <w:rsid w:val="00080550"/>
    <w:rsid w:val="00080624"/>
    <w:rsid w:val="00083A52"/>
    <w:rsid w:val="00083F4B"/>
    <w:rsid w:val="00084D23"/>
    <w:rsid w:val="00085BE1"/>
    <w:rsid w:val="00085F6C"/>
    <w:rsid w:val="00087531"/>
    <w:rsid w:val="0008756A"/>
    <w:rsid w:val="0009099E"/>
    <w:rsid w:val="00090EB9"/>
    <w:rsid w:val="000910AE"/>
    <w:rsid w:val="000938DF"/>
    <w:rsid w:val="00094ACC"/>
    <w:rsid w:val="00094D21"/>
    <w:rsid w:val="00095268"/>
    <w:rsid w:val="000A0689"/>
    <w:rsid w:val="000A0AC5"/>
    <w:rsid w:val="000A0E7A"/>
    <w:rsid w:val="000A1E5C"/>
    <w:rsid w:val="000A27A3"/>
    <w:rsid w:val="000A2CDB"/>
    <w:rsid w:val="000A4BEF"/>
    <w:rsid w:val="000A594D"/>
    <w:rsid w:val="000A7100"/>
    <w:rsid w:val="000B09B8"/>
    <w:rsid w:val="000B3F81"/>
    <w:rsid w:val="000B4F0F"/>
    <w:rsid w:val="000B5A3C"/>
    <w:rsid w:val="000B71B4"/>
    <w:rsid w:val="000B7A32"/>
    <w:rsid w:val="000B7F2E"/>
    <w:rsid w:val="000C328D"/>
    <w:rsid w:val="000C3521"/>
    <w:rsid w:val="000C3C41"/>
    <w:rsid w:val="000C547D"/>
    <w:rsid w:val="000C586E"/>
    <w:rsid w:val="000D1D8D"/>
    <w:rsid w:val="000D2E65"/>
    <w:rsid w:val="000D536A"/>
    <w:rsid w:val="000D62CF"/>
    <w:rsid w:val="000E00A5"/>
    <w:rsid w:val="000E0511"/>
    <w:rsid w:val="000E06C5"/>
    <w:rsid w:val="000E15ED"/>
    <w:rsid w:val="000E2D67"/>
    <w:rsid w:val="000E368F"/>
    <w:rsid w:val="000E3AE3"/>
    <w:rsid w:val="000E568F"/>
    <w:rsid w:val="000F0F6B"/>
    <w:rsid w:val="000F19DE"/>
    <w:rsid w:val="000F1CBB"/>
    <w:rsid w:val="000F4E99"/>
    <w:rsid w:val="000F52F2"/>
    <w:rsid w:val="000F6099"/>
    <w:rsid w:val="000F62A9"/>
    <w:rsid w:val="000F62C1"/>
    <w:rsid w:val="000F640C"/>
    <w:rsid w:val="001012AF"/>
    <w:rsid w:val="00102B30"/>
    <w:rsid w:val="001047BB"/>
    <w:rsid w:val="00105B60"/>
    <w:rsid w:val="00105BE1"/>
    <w:rsid w:val="00105F95"/>
    <w:rsid w:val="00106E09"/>
    <w:rsid w:val="0011086D"/>
    <w:rsid w:val="00111176"/>
    <w:rsid w:val="00112A2F"/>
    <w:rsid w:val="00112F63"/>
    <w:rsid w:val="001141BA"/>
    <w:rsid w:val="00115CA7"/>
    <w:rsid w:val="001203ED"/>
    <w:rsid w:val="00120906"/>
    <w:rsid w:val="00123E80"/>
    <w:rsid w:val="00123EA0"/>
    <w:rsid w:val="00125BFC"/>
    <w:rsid w:val="001263F9"/>
    <w:rsid w:val="0012696E"/>
    <w:rsid w:val="00127AD7"/>
    <w:rsid w:val="00127F77"/>
    <w:rsid w:val="001308BD"/>
    <w:rsid w:val="00133AD9"/>
    <w:rsid w:val="00136A57"/>
    <w:rsid w:val="0014100A"/>
    <w:rsid w:val="001430FA"/>
    <w:rsid w:val="00143505"/>
    <w:rsid w:val="001439F8"/>
    <w:rsid w:val="001442DB"/>
    <w:rsid w:val="00147BA2"/>
    <w:rsid w:val="0015075B"/>
    <w:rsid w:val="001514A8"/>
    <w:rsid w:val="00153CA9"/>
    <w:rsid w:val="00153D0B"/>
    <w:rsid w:val="00154228"/>
    <w:rsid w:val="00154321"/>
    <w:rsid w:val="00154F9A"/>
    <w:rsid w:val="001555E3"/>
    <w:rsid w:val="00155E46"/>
    <w:rsid w:val="00156B22"/>
    <w:rsid w:val="001604B9"/>
    <w:rsid w:val="0016150F"/>
    <w:rsid w:val="00161BD0"/>
    <w:rsid w:val="00162350"/>
    <w:rsid w:val="00163373"/>
    <w:rsid w:val="00163991"/>
    <w:rsid w:val="0016667C"/>
    <w:rsid w:val="0016679F"/>
    <w:rsid w:val="00167818"/>
    <w:rsid w:val="00170BFF"/>
    <w:rsid w:val="001716BE"/>
    <w:rsid w:val="00173F9D"/>
    <w:rsid w:val="00174A79"/>
    <w:rsid w:val="001752FE"/>
    <w:rsid w:val="001755B0"/>
    <w:rsid w:val="001765F5"/>
    <w:rsid w:val="00177A83"/>
    <w:rsid w:val="00177B09"/>
    <w:rsid w:val="00180260"/>
    <w:rsid w:val="00180ED1"/>
    <w:rsid w:val="00181D28"/>
    <w:rsid w:val="00183F07"/>
    <w:rsid w:val="0018515E"/>
    <w:rsid w:val="00185995"/>
    <w:rsid w:val="00185DE9"/>
    <w:rsid w:val="00186237"/>
    <w:rsid w:val="00187CF0"/>
    <w:rsid w:val="00190909"/>
    <w:rsid w:val="00191AC3"/>
    <w:rsid w:val="001937E0"/>
    <w:rsid w:val="00193838"/>
    <w:rsid w:val="00193C73"/>
    <w:rsid w:val="001A6112"/>
    <w:rsid w:val="001A636F"/>
    <w:rsid w:val="001B2D6E"/>
    <w:rsid w:val="001B31E5"/>
    <w:rsid w:val="001B3DED"/>
    <w:rsid w:val="001B64D3"/>
    <w:rsid w:val="001B6E91"/>
    <w:rsid w:val="001C3985"/>
    <w:rsid w:val="001C4E72"/>
    <w:rsid w:val="001C5634"/>
    <w:rsid w:val="001C5C80"/>
    <w:rsid w:val="001C60BE"/>
    <w:rsid w:val="001C61FD"/>
    <w:rsid w:val="001C676F"/>
    <w:rsid w:val="001C69E3"/>
    <w:rsid w:val="001D0691"/>
    <w:rsid w:val="001D19BC"/>
    <w:rsid w:val="001D35EE"/>
    <w:rsid w:val="001D559B"/>
    <w:rsid w:val="001D602E"/>
    <w:rsid w:val="001D607C"/>
    <w:rsid w:val="001D6379"/>
    <w:rsid w:val="001D67C0"/>
    <w:rsid w:val="001D7A21"/>
    <w:rsid w:val="001E0267"/>
    <w:rsid w:val="001E41F7"/>
    <w:rsid w:val="001E4EEF"/>
    <w:rsid w:val="001E5599"/>
    <w:rsid w:val="001E5A20"/>
    <w:rsid w:val="001E63DB"/>
    <w:rsid w:val="001E69A0"/>
    <w:rsid w:val="001F0C2A"/>
    <w:rsid w:val="001F3938"/>
    <w:rsid w:val="001F43B8"/>
    <w:rsid w:val="001F490F"/>
    <w:rsid w:val="001F5F40"/>
    <w:rsid w:val="001F5FCD"/>
    <w:rsid w:val="001F7F4A"/>
    <w:rsid w:val="00200470"/>
    <w:rsid w:val="002005D9"/>
    <w:rsid w:val="00201D4E"/>
    <w:rsid w:val="00201FAE"/>
    <w:rsid w:val="00204698"/>
    <w:rsid w:val="00205FEC"/>
    <w:rsid w:val="00207BF1"/>
    <w:rsid w:val="002102E9"/>
    <w:rsid w:val="00211533"/>
    <w:rsid w:val="0021164D"/>
    <w:rsid w:val="00211B07"/>
    <w:rsid w:val="00211F25"/>
    <w:rsid w:val="0021256C"/>
    <w:rsid w:val="00216662"/>
    <w:rsid w:val="00216DA4"/>
    <w:rsid w:val="0022081B"/>
    <w:rsid w:val="0022132F"/>
    <w:rsid w:val="00226D64"/>
    <w:rsid w:val="00227332"/>
    <w:rsid w:val="002306BE"/>
    <w:rsid w:val="00230C01"/>
    <w:rsid w:val="002346E7"/>
    <w:rsid w:val="00234BF4"/>
    <w:rsid w:val="00234F5A"/>
    <w:rsid w:val="00235BF7"/>
    <w:rsid w:val="00236178"/>
    <w:rsid w:val="00240174"/>
    <w:rsid w:val="00240399"/>
    <w:rsid w:val="002421AA"/>
    <w:rsid w:val="002422C1"/>
    <w:rsid w:val="0024349B"/>
    <w:rsid w:val="00243AA2"/>
    <w:rsid w:val="00244558"/>
    <w:rsid w:val="00251D37"/>
    <w:rsid w:val="00253426"/>
    <w:rsid w:val="00254D7B"/>
    <w:rsid w:val="00256244"/>
    <w:rsid w:val="002610B9"/>
    <w:rsid w:val="0026112F"/>
    <w:rsid w:val="002614B6"/>
    <w:rsid w:val="00263CB8"/>
    <w:rsid w:val="002734D6"/>
    <w:rsid w:val="002736C4"/>
    <w:rsid w:val="00274582"/>
    <w:rsid w:val="00274B0D"/>
    <w:rsid w:val="00274FA1"/>
    <w:rsid w:val="00275359"/>
    <w:rsid w:val="002764CF"/>
    <w:rsid w:val="00276728"/>
    <w:rsid w:val="00281063"/>
    <w:rsid w:val="00282445"/>
    <w:rsid w:val="00284E53"/>
    <w:rsid w:val="0028542B"/>
    <w:rsid w:val="0028551E"/>
    <w:rsid w:val="00285D62"/>
    <w:rsid w:val="00287B40"/>
    <w:rsid w:val="0029076D"/>
    <w:rsid w:val="00294E90"/>
    <w:rsid w:val="002955AF"/>
    <w:rsid w:val="00295EFB"/>
    <w:rsid w:val="00296ABF"/>
    <w:rsid w:val="002A2414"/>
    <w:rsid w:val="002A2985"/>
    <w:rsid w:val="002B16B7"/>
    <w:rsid w:val="002B40AE"/>
    <w:rsid w:val="002B614D"/>
    <w:rsid w:val="002C01D9"/>
    <w:rsid w:val="002C0293"/>
    <w:rsid w:val="002C1101"/>
    <w:rsid w:val="002C146D"/>
    <w:rsid w:val="002C22C5"/>
    <w:rsid w:val="002C6794"/>
    <w:rsid w:val="002D01DF"/>
    <w:rsid w:val="002D031E"/>
    <w:rsid w:val="002D138A"/>
    <w:rsid w:val="002D2372"/>
    <w:rsid w:val="002D2BE8"/>
    <w:rsid w:val="002D3256"/>
    <w:rsid w:val="002D3610"/>
    <w:rsid w:val="002D50D8"/>
    <w:rsid w:val="002D62AF"/>
    <w:rsid w:val="002D760B"/>
    <w:rsid w:val="002D79AC"/>
    <w:rsid w:val="002E12F9"/>
    <w:rsid w:val="002E2D48"/>
    <w:rsid w:val="002E3520"/>
    <w:rsid w:val="002E4BA0"/>
    <w:rsid w:val="002E5A97"/>
    <w:rsid w:val="002E5BF5"/>
    <w:rsid w:val="002E7132"/>
    <w:rsid w:val="002F02DC"/>
    <w:rsid w:val="002F09A9"/>
    <w:rsid w:val="002F134F"/>
    <w:rsid w:val="002F13FF"/>
    <w:rsid w:val="002F3D7E"/>
    <w:rsid w:val="002F42D8"/>
    <w:rsid w:val="002F5903"/>
    <w:rsid w:val="002F5924"/>
    <w:rsid w:val="002F60D1"/>
    <w:rsid w:val="002F6B9D"/>
    <w:rsid w:val="002F72FF"/>
    <w:rsid w:val="00300F71"/>
    <w:rsid w:val="0030229B"/>
    <w:rsid w:val="00303871"/>
    <w:rsid w:val="00303A19"/>
    <w:rsid w:val="00303EBD"/>
    <w:rsid w:val="00304A10"/>
    <w:rsid w:val="0030501F"/>
    <w:rsid w:val="00305155"/>
    <w:rsid w:val="00311424"/>
    <w:rsid w:val="00311543"/>
    <w:rsid w:val="00313928"/>
    <w:rsid w:val="00315307"/>
    <w:rsid w:val="00316B69"/>
    <w:rsid w:val="0032130E"/>
    <w:rsid w:val="00321407"/>
    <w:rsid w:val="00323B47"/>
    <w:rsid w:val="00323C1B"/>
    <w:rsid w:val="00323E99"/>
    <w:rsid w:val="003269F6"/>
    <w:rsid w:val="00326BDE"/>
    <w:rsid w:val="003317AA"/>
    <w:rsid w:val="00331A4A"/>
    <w:rsid w:val="00332229"/>
    <w:rsid w:val="00332D86"/>
    <w:rsid w:val="003336C2"/>
    <w:rsid w:val="0033381C"/>
    <w:rsid w:val="003340E5"/>
    <w:rsid w:val="003358F9"/>
    <w:rsid w:val="00336507"/>
    <w:rsid w:val="00337DFF"/>
    <w:rsid w:val="0034000C"/>
    <w:rsid w:val="003426C1"/>
    <w:rsid w:val="0034345F"/>
    <w:rsid w:val="00343622"/>
    <w:rsid w:val="0034395B"/>
    <w:rsid w:val="003441FB"/>
    <w:rsid w:val="003447B9"/>
    <w:rsid w:val="00345D5B"/>
    <w:rsid w:val="00351F29"/>
    <w:rsid w:val="00353152"/>
    <w:rsid w:val="003534E6"/>
    <w:rsid w:val="003556F6"/>
    <w:rsid w:val="003559EF"/>
    <w:rsid w:val="00355F99"/>
    <w:rsid w:val="00357358"/>
    <w:rsid w:val="00357CD9"/>
    <w:rsid w:val="00360C78"/>
    <w:rsid w:val="00360E7E"/>
    <w:rsid w:val="00362570"/>
    <w:rsid w:val="003734EC"/>
    <w:rsid w:val="00373548"/>
    <w:rsid w:val="003737C4"/>
    <w:rsid w:val="00375B60"/>
    <w:rsid w:val="00375FA3"/>
    <w:rsid w:val="0037623F"/>
    <w:rsid w:val="003766CA"/>
    <w:rsid w:val="0037726D"/>
    <w:rsid w:val="00381818"/>
    <w:rsid w:val="003828FB"/>
    <w:rsid w:val="003840B2"/>
    <w:rsid w:val="00384622"/>
    <w:rsid w:val="00384FBD"/>
    <w:rsid w:val="003850DB"/>
    <w:rsid w:val="0038529D"/>
    <w:rsid w:val="00386CAB"/>
    <w:rsid w:val="003901B2"/>
    <w:rsid w:val="0039281C"/>
    <w:rsid w:val="00392B6C"/>
    <w:rsid w:val="00393283"/>
    <w:rsid w:val="00394103"/>
    <w:rsid w:val="00394AC8"/>
    <w:rsid w:val="00394D90"/>
    <w:rsid w:val="0039621D"/>
    <w:rsid w:val="003968D4"/>
    <w:rsid w:val="003969E3"/>
    <w:rsid w:val="00396ED1"/>
    <w:rsid w:val="003A0010"/>
    <w:rsid w:val="003A0BC4"/>
    <w:rsid w:val="003A255E"/>
    <w:rsid w:val="003A50D8"/>
    <w:rsid w:val="003A5B2A"/>
    <w:rsid w:val="003A66F3"/>
    <w:rsid w:val="003B01C0"/>
    <w:rsid w:val="003B048B"/>
    <w:rsid w:val="003B0491"/>
    <w:rsid w:val="003B2F2D"/>
    <w:rsid w:val="003B5D41"/>
    <w:rsid w:val="003B6DBD"/>
    <w:rsid w:val="003B7311"/>
    <w:rsid w:val="003C0F91"/>
    <w:rsid w:val="003C25DF"/>
    <w:rsid w:val="003C2CB8"/>
    <w:rsid w:val="003C2D3D"/>
    <w:rsid w:val="003C40FB"/>
    <w:rsid w:val="003C4B82"/>
    <w:rsid w:val="003C54FD"/>
    <w:rsid w:val="003D2679"/>
    <w:rsid w:val="003D318D"/>
    <w:rsid w:val="003D349E"/>
    <w:rsid w:val="003D4AC8"/>
    <w:rsid w:val="003D515C"/>
    <w:rsid w:val="003D6B72"/>
    <w:rsid w:val="003D70C2"/>
    <w:rsid w:val="003E1445"/>
    <w:rsid w:val="003E1778"/>
    <w:rsid w:val="003E228F"/>
    <w:rsid w:val="003E2FE9"/>
    <w:rsid w:val="003E38AC"/>
    <w:rsid w:val="003E3F67"/>
    <w:rsid w:val="003E4221"/>
    <w:rsid w:val="003E4592"/>
    <w:rsid w:val="003E4DEA"/>
    <w:rsid w:val="003E5164"/>
    <w:rsid w:val="003E52FF"/>
    <w:rsid w:val="003E6217"/>
    <w:rsid w:val="003F1350"/>
    <w:rsid w:val="003F2D7C"/>
    <w:rsid w:val="003F5560"/>
    <w:rsid w:val="003F58EC"/>
    <w:rsid w:val="003F5951"/>
    <w:rsid w:val="003F5B7B"/>
    <w:rsid w:val="003F5D73"/>
    <w:rsid w:val="003F79AB"/>
    <w:rsid w:val="004008A2"/>
    <w:rsid w:val="004026E9"/>
    <w:rsid w:val="004033AC"/>
    <w:rsid w:val="0040366C"/>
    <w:rsid w:val="004037EE"/>
    <w:rsid w:val="0040426A"/>
    <w:rsid w:val="004046D0"/>
    <w:rsid w:val="004051E2"/>
    <w:rsid w:val="00405602"/>
    <w:rsid w:val="00406150"/>
    <w:rsid w:val="00406CE8"/>
    <w:rsid w:val="004071E3"/>
    <w:rsid w:val="0041049A"/>
    <w:rsid w:val="00410CAF"/>
    <w:rsid w:val="00411F29"/>
    <w:rsid w:val="0041261D"/>
    <w:rsid w:val="00414647"/>
    <w:rsid w:val="004168B8"/>
    <w:rsid w:val="004171D3"/>
    <w:rsid w:val="0042019B"/>
    <w:rsid w:val="00422081"/>
    <w:rsid w:val="004222CC"/>
    <w:rsid w:val="0043164F"/>
    <w:rsid w:val="00432BAA"/>
    <w:rsid w:val="00432D24"/>
    <w:rsid w:val="00433097"/>
    <w:rsid w:val="00434B32"/>
    <w:rsid w:val="0043510E"/>
    <w:rsid w:val="00436470"/>
    <w:rsid w:val="00437CCC"/>
    <w:rsid w:val="00437D4A"/>
    <w:rsid w:val="0044065B"/>
    <w:rsid w:val="0044085F"/>
    <w:rsid w:val="00442FEC"/>
    <w:rsid w:val="00443E15"/>
    <w:rsid w:val="00444B09"/>
    <w:rsid w:val="00445D76"/>
    <w:rsid w:val="00447961"/>
    <w:rsid w:val="00450EB2"/>
    <w:rsid w:val="00450F62"/>
    <w:rsid w:val="004514EF"/>
    <w:rsid w:val="00451EBC"/>
    <w:rsid w:val="00452545"/>
    <w:rsid w:val="0045328F"/>
    <w:rsid w:val="004569A2"/>
    <w:rsid w:val="00456A04"/>
    <w:rsid w:val="00457E9E"/>
    <w:rsid w:val="00461A6B"/>
    <w:rsid w:val="00461C52"/>
    <w:rsid w:val="00466005"/>
    <w:rsid w:val="00467642"/>
    <w:rsid w:val="00472501"/>
    <w:rsid w:val="004800AC"/>
    <w:rsid w:val="00480ECC"/>
    <w:rsid w:val="00482E3A"/>
    <w:rsid w:val="0048331B"/>
    <w:rsid w:val="00483C85"/>
    <w:rsid w:val="0048437D"/>
    <w:rsid w:val="00485048"/>
    <w:rsid w:val="00490155"/>
    <w:rsid w:val="0049161D"/>
    <w:rsid w:val="004919CA"/>
    <w:rsid w:val="0049330B"/>
    <w:rsid w:val="004942D3"/>
    <w:rsid w:val="0049496B"/>
    <w:rsid w:val="004A054A"/>
    <w:rsid w:val="004A05A7"/>
    <w:rsid w:val="004A0B3E"/>
    <w:rsid w:val="004A1303"/>
    <w:rsid w:val="004A4B24"/>
    <w:rsid w:val="004A5E45"/>
    <w:rsid w:val="004A7AEE"/>
    <w:rsid w:val="004A7C44"/>
    <w:rsid w:val="004B0576"/>
    <w:rsid w:val="004B0896"/>
    <w:rsid w:val="004B18C6"/>
    <w:rsid w:val="004B26D7"/>
    <w:rsid w:val="004B358B"/>
    <w:rsid w:val="004B3CE1"/>
    <w:rsid w:val="004B3D28"/>
    <w:rsid w:val="004B41AC"/>
    <w:rsid w:val="004B614F"/>
    <w:rsid w:val="004B6AC5"/>
    <w:rsid w:val="004C06FF"/>
    <w:rsid w:val="004C0B00"/>
    <w:rsid w:val="004C15AF"/>
    <w:rsid w:val="004C1883"/>
    <w:rsid w:val="004C36E9"/>
    <w:rsid w:val="004C483F"/>
    <w:rsid w:val="004C4E02"/>
    <w:rsid w:val="004C6857"/>
    <w:rsid w:val="004C6BC7"/>
    <w:rsid w:val="004C6D13"/>
    <w:rsid w:val="004D0E76"/>
    <w:rsid w:val="004D2914"/>
    <w:rsid w:val="004D3C65"/>
    <w:rsid w:val="004D3CD8"/>
    <w:rsid w:val="004D52C4"/>
    <w:rsid w:val="004D5530"/>
    <w:rsid w:val="004D5BB7"/>
    <w:rsid w:val="004D6D9E"/>
    <w:rsid w:val="004E22BB"/>
    <w:rsid w:val="004E2B18"/>
    <w:rsid w:val="004E3D23"/>
    <w:rsid w:val="004E63AA"/>
    <w:rsid w:val="004E7E0A"/>
    <w:rsid w:val="004E7FFE"/>
    <w:rsid w:val="004F0600"/>
    <w:rsid w:val="004F39F1"/>
    <w:rsid w:val="004F4D91"/>
    <w:rsid w:val="00501791"/>
    <w:rsid w:val="0050189A"/>
    <w:rsid w:val="005019A7"/>
    <w:rsid w:val="005020F2"/>
    <w:rsid w:val="005023D3"/>
    <w:rsid w:val="00504B2D"/>
    <w:rsid w:val="00504E35"/>
    <w:rsid w:val="00506AF0"/>
    <w:rsid w:val="0050721A"/>
    <w:rsid w:val="005075C5"/>
    <w:rsid w:val="00507689"/>
    <w:rsid w:val="005123C3"/>
    <w:rsid w:val="00513007"/>
    <w:rsid w:val="00514379"/>
    <w:rsid w:val="00514898"/>
    <w:rsid w:val="00515796"/>
    <w:rsid w:val="005160DD"/>
    <w:rsid w:val="00517FF9"/>
    <w:rsid w:val="00520961"/>
    <w:rsid w:val="00522425"/>
    <w:rsid w:val="0052477E"/>
    <w:rsid w:val="00524A00"/>
    <w:rsid w:val="005271F6"/>
    <w:rsid w:val="00527B1F"/>
    <w:rsid w:val="00530675"/>
    <w:rsid w:val="005308E2"/>
    <w:rsid w:val="005311D8"/>
    <w:rsid w:val="005313B8"/>
    <w:rsid w:val="005339FB"/>
    <w:rsid w:val="00533E4A"/>
    <w:rsid w:val="00535425"/>
    <w:rsid w:val="00535DE7"/>
    <w:rsid w:val="0053620A"/>
    <w:rsid w:val="005377ED"/>
    <w:rsid w:val="005410D6"/>
    <w:rsid w:val="0054195D"/>
    <w:rsid w:val="00542388"/>
    <w:rsid w:val="005433F5"/>
    <w:rsid w:val="00552C16"/>
    <w:rsid w:val="00553527"/>
    <w:rsid w:val="0055545E"/>
    <w:rsid w:val="005554F7"/>
    <w:rsid w:val="005558AE"/>
    <w:rsid w:val="00556161"/>
    <w:rsid w:val="00557F3D"/>
    <w:rsid w:val="00564A74"/>
    <w:rsid w:val="00565F40"/>
    <w:rsid w:val="00566236"/>
    <w:rsid w:val="00571EB4"/>
    <w:rsid w:val="00574272"/>
    <w:rsid w:val="00575021"/>
    <w:rsid w:val="00577A73"/>
    <w:rsid w:val="00580215"/>
    <w:rsid w:val="00582265"/>
    <w:rsid w:val="0058310E"/>
    <w:rsid w:val="0058410F"/>
    <w:rsid w:val="00584492"/>
    <w:rsid w:val="0058492B"/>
    <w:rsid w:val="00585C3D"/>
    <w:rsid w:val="0058695C"/>
    <w:rsid w:val="00587B18"/>
    <w:rsid w:val="00590412"/>
    <w:rsid w:val="00590B7D"/>
    <w:rsid w:val="00591294"/>
    <w:rsid w:val="00592F87"/>
    <w:rsid w:val="005932D8"/>
    <w:rsid w:val="00595C3B"/>
    <w:rsid w:val="00597782"/>
    <w:rsid w:val="005A2900"/>
    <w:rsid w:val="005A299A"/>
    <w:rsid w:val="005A5A93"/>
    <w:rsid w:val="005A67D3"/>
    <w:rsid w:val="005A7FA8"/>
    <w:rsid w:val="005B046F"/>
    <w:rsid w:val="005B05E1"/>
    <w:rsid w:val="005B1C8D"/>
    <w:rsid w:val="005B1F95"/>
    <w:rsid w:val="005B22A7"/>
    <w:rsid w:val="005B569D"/>
    <w:rsid w:val="005B5AD5"/>
    <w:rsid w:val="005B74F8"/>
    <w:rsid w:val="005C2024"/>
    <w:rsid w:val="005C2623"/>
    <w:rsid w:val="005C426B"/>
    <w:rsid w:val="005C612A"/>
    <w:rsid w:val="005C6145"/>
    <w:rsid w:val="005C66B3"/>
    <w:rsid w:val="005C6F42"/>
    <w:rsid w:val="005C7F44"/>
    <w:rsid w:val="005D3530"/>
    <w:rsid w:val="005D480A"/>
    <w:rsid w:val="005D615F"/>
    <w:rsid w:val="005D6810"/>
    <w:rsid w:val="005E1109"/>
    <w:rsid w:val="005E18EB"/>
    <w:rsid w:val="005E231E"/>
    <w:rsid w:val="005E23C0"/>
    <w:rsid w:val="005E35F6"/>
    <w:rsid w:val="005E4134"/>
    <w:rsid w:val="005F3047"/>
    <w:rsid w:val="005F5251"/>
    <w:rsid w:val="00602AC4"/>
    <w:rsid w:val="0060336C"/>
    <w:rsid w:val="00603AF6"/>
    <w:rsid w:val="006062C5"/>
    <w:rsid w:val="00607264"/>
    <w:rsid w:val="006104B1"/>
    <w:rsid w:val="006108EF"/>
    <w:rsid w:val="00611E46"/>
    <w:rsid w:val="006132C5"/>
    <w:rsid w:val="00613CD3"/>
    <w:rsid w:val="006143BA"/>
    <w:rsid w:val="00614557"/>
    <w:rsid w:val="00615948"/>
    <w:rsid w:val="00620E54"/>
    <w:rsid w:val="00621048"/>
    <w:rsid w:val="006219C2"/>
    <w:rsid w:val="00621ED0"/>
    <w:rsid w:val="00622385"/>
    <w:rsid w:val="0062254D"/>
    <w:rsid w:val="00623EC2"/>
    <w:rsid w:val="00624040"/>
    <w:rsid w:val="00624309"/>
    <w:rsid w:val="00627D30"/>
    <w:rsid w:val="006305E2"/>
    <w:rsid w:val="00630BD8"/>
    <w:rsid w:val="00632BBB"/>
    <w:rsid w:val="00633EA9"/>
    <w:rsid w:val="00633F0C"/>
    <w:rsid w:val="0063576F"/>
    <w:rsid w:val="00636657"/>
    <w:rsid w:val="00636D41"/>
    <w:rsid w:val="00641360"/>
    <w:rsid w:val="00642C7A"/>
    <w:rsid w:val="00642D00"/>
    <w:rsid w:val="006431C3"/>
    <w:rsid w:val="00643736"/>
    <w:rsid w:val="0064413A"/>
    <w:rsid w:val="00644812"/>
    <w:rsid w:val="0064487D"/>
    <w:rsid w:val="006469D1"/>
    <w:rsid w:val="006501FD"/>
    <w:rsid w:val="006515EE"/>
    <w:rsid w:val="00652711"/>
    <w:rsid w:val="0065276C"/>
    <w:rsid w:val="00652AF8"/>
    <w:rsid w:val="00652C01"/>
    <w:rsid w:val="006533D5"/>
    <w:rsid w:val="00653B13"/>
    <w:rsid w:val="0065576D"/>
    <w:rsid w:val="00655D36"/>
    <w:rsid w:val="0065627C"/>
    <w:rsid w:val="006563A3"/>
    <w:rsid w:val="00657243"/>
    <w:rsid w:val="006572CA"/>
    <w:rsid w:val="00657AFE"/>
    <w:rsid w:val="00661B66"/>
    <w:rsid w:val="006629FC"/>
    <w:rsid w:val="0066735C"/>
    <w:rsid w:val="00667BA8"/>
    <w:rsid w:val="0067486F"/>
    <w:rsid w:val="00675695"/>
    <w:rsid w:val="00675B8F"/>
    <w:rsid w:val="00680F1A"/>
    <w:rsid w:val="00683671"/>
    <w:rsid w:val="006875F9"/>
    <w:rsid w:val="0069312A"/>
    <w:rsid w:val="00694486"/>
    <w:rsid w:val="00694B1D"/>
    <w:rsid w:val="00695927"/>
    <w:rsid w:val="00695988"/>
    <w:rsid w:val="00695BAF"/>
    <w:rsid w:val="00696A5F"/>
    <w:rsid w:val="006A290A"/>
    <w:rsid w:val="006A3231"/>
    <w:rsid w:val="006A456E"/>
    <w:rsid w:val="006A6278"/>
    <w:rsid w:val="006A6F28"/>
    <w:rsid w:val="006A7732"/>
    <w:rsid w:val="006A78AB"/>
    <w:rsid w:val="006B0FCA"/>
    <w:rsid w:val="006B40EA"/>
    <w:rsid w:val="006B4CB8"/>
    <w:rsid w:val="006B6069"/>
    <w:rsid w:val="006B66F5"/>
    <w:rsid w:val="006B6980"/>
    <w:rsid w:val="006B6F5B"/>
    <w:rsid w:val="006C0D39"/>
    <w:rsid w:val="006C173B"/>
    <w:rsid w:val="006C2A20"/>
    <w:rsid w:val="006C34A3"/>
    <w:rsid w:val="006C5808"/>
    <w:rsid w:val="006C6620"/>
    <w:rsid w:val="006D1948"/>
    <w:rsid w:val="006D2D20"/>
    <w:rsid w:val="006D304B"/>
    <w:rsid w:val="006D32EB"/>
    <w:rsid w:val="006D5C27"/>
    <w:rsid w:val="006D6315"/>
    <w:rsid w:val="006D6E39"/>
    <w:rsid w:val="006D7B5D"/>
    <w:rsid w:val="006E3229"/>
    <w:rsid w:val="006E35A5"/>
    <w:rsid w:val="006E484F"/>
    <w:rsid w:val="006E5B39"/>
    <w:rsid w:val="006E5FB9"/>
    <w:rsid w:val="006E6581"/>
    <w:rsid w:val="006E7AD2"/>
    <w:rsid w:val="006F1591"/>
    <w:rsid w:val="006F3896"/>
    <w:rsid w:val="006F4150"/>
    <w:rsid w:val="006F5A9B"/>
    <w:rsid w:val="007011FA"/>
    <w:rsid w:val="00701921"/>
    <w:rsid w:val="007026BF"/>
    <w:rsid w:val="00702C1C"/>
    <w:rsid w:val="00702D15"/>
    <w:rsid w:val="00704014"/>
    <w:rsid w:val="00704240"/>
    <w:rsid w:val="00705120"/>
    <w:rsid w:val="00705CA6"/>
    <w:rsid w:val="0070620E"/>
    <w:rsid w:val="00706F2A"/>
    <w:rsid w:val="007074FE"/>
    <w:rsid w:val="007076C2"/>
    <w:rsid w:val="00710A9F"/>
    <w:rsid w:val="007111E1"/>
    <w:rsid w:val="007118FF"/>
    <w:rsid w:val="0071494A"/>
    <w:rsid w:val="007203D7"/>
    <w:rsid w:val="0072047E"/>
    <w:rsid w:val="00720553"/>
    <w:rsid w:val="007223C9"/>
    <w:rsid w:val="00722DF1"/>
    <w:rsid w:val="00724536"/>
    <w:rsid w:val="00724FC9"/>
    <w:rsid w:val="0072579D"/>
    <w:rsid w:val="007278E2"/>
    <w:rsid w:val="00730D96"/>
    <w:rsid w:val="00733032"/>
    <w:rsid w:val="00734DC6"/>
    <w:rsid w:val="007353A5"/>
    <w:rsid w:val="007358FD"/>
    <w:rsid w:val="007361C0"/>
    <w:rsid w:val="0074049D"/>
    <w:rsid w:val="00740BA4"/>
    <w:rsid w:val="00740DD2"/>
    <w:rsid w:val="007415A7"/>
    <w:rsid w:val="00751D97"/>
    <w:rsid w:val="007529DA"/>
    <w:rsid w:val="00756CF8"/>
    <w:rsid w:val="00757337"/>
    <w:rsid w:val="0075784C"/>
    <w:rsid w:val="00760CEC"/>
    <w:rsid w:val="007618BD"/>
    <w:rsid w:val="00761B75"/>
    <w:rsid w:val="00761ED0"/>
    <w:rsid w:val="00762ADE"/>
    <w:rsid w:val="00762DA7"/>
    <w:rsid w:val="00763229"/>
    <w:rsid w:val="007644F7"/>
    <w:rsid w:val="0076467B"/>
    <w:rsid w:val="00764955"/>
    <w:rsid w:val="00765F64"/>
    <w:rsid w:val="00770D66"/>
    <w:rsid w:val="00773201"/>
    <w:rsid w:val="0077486F"/>
    <w:rsid w:val="00775F4E"/>
    <w:rsid w:val="00776C3D"/>
    <w:rsid w:val="00781C3D"/>
    <w:rsid w:val="0078655A"/>
    <w:rsid w:val="007872D9"/>
    <w:rsid w:val="007874C9"/>
    <w:rsid w:val="00791E03"/>
    <w:rsid w:val="007933AB"/>
    <w:rsid w:val="007933C1"/>
    <w:rsid w:val="00793955"/>
    <w:rsid w:val="00795937"/>
    <w:rsid w:val="00797060"/>
    <w:rsid w:val="007A0081"/>
    <w:rsid w:val="007A1A0B"/>
    <w:rsid w:val="007A2F1D"/>
    <w:rsid w:val="007A4F90"/>
    <w:rsid w:val="007A6D4E"/>
    <w:rsid w:val="007A7151"/>
    <w:rsid w:val="007B0AFB"/>
    <w:rsid w:val="007B13C0"/>
    <w:rsid w:val="007B1CFC"/>
    <w:rsid w:val="007B2298"/>
    <w:rsid w:val="007B4962"/>
    <w:rsid w:val="007B4B8E"/>
    <w:rsid w:val="007B5655"/>
    <w:rsid w:val="007B65A4"/>
    <w:rsid w:val="007B6E30"/>
    <w:rsid w:val="007C0513"/>
    <w:rsid w:val="007C0A84"/>
    <w:rsid w:val="007C16BC"/>
    <w:rsid w:val="007C18DA"/>
    <w:rsid w:val="007C2103"/>
    <w:rsid w:val="007C438F"/>
    <w:rsid w:val="007C71DE"/>
    <w:rsid w:val="007C721C"/>
    <w:rsid w:val="007D23A4"/>
    <w:rsid w:val="007D35B3"/>
    <w:rsid w:val="007D4610"/>
    <w:rsid w:val="007E11CD"/>
    <w:rsid w:val="007E1B13"/>
    <w:rsid w:val="007E1C50"/>
    <w:rsid w:val="007E22CA"/>
    <w:rsid w:val="007E438A"/>
    <w:rsid w:val="007E51C8"/>
    <w:rsid w:val="007E580C"/>
    <w:rsid w:val="007E5E94"/>
    <w:rsid w:val="007E7A6B"/>
    <w:rsid w:val="007F019A"/>
    <w:rsid w:val="007F17E2"/>
    <w:rsid w:val="007F1D54"/>
    <w:rsid w:val="007F204B"/>
    <w:rsid w:val="007F207F"/>
    <w:rsid w:val="007F3310"/>
    <w:rsid w:val="007F3E5F"/>
    <w:rsid w:val="007F4A93"/>
    <w:rsid w:val="007F71D6"/>
    <w:rsid w:val="00800931"/>
    <w:rsid w:val="008022BE"/>
    <w:rsid w:val="00802EB2"/>
    <w:rsid w:val="0080453E"/>
    <w:rsid w:val="0080593F"/>
    <w:rsid w:val="00806401"/>
    <w:rsid w:val="008076BA"/>
    <w:rsid w:val="008120E2"/>
    <w:rsid w:val="008125F9"/>
    <w:rsid w:val="00812CC4"/>
    <w:rsid w:val="00814C76"/>
    <w:rsid w:val="00814CFD"/>
    <w:rsid w:val="00814D3C"/>
    <w:rsid w:val="00815F9C"/>
    <w:rsid w:val="00817C7B"/>
    <w:rsid w:val="008220B8"/>
    <w:rsid w:val="008248D3"/>
    <w:rsid w:val="008253C7"/>
    <w:rsid w:val="00825C79"/>
    <w:rsid w:val="00826A72"/>
    <w:rsid w:val="00826CD2"/>
    <w:rsid w:val="0082738D"/>
    <w:rsid w:val="00834A9D"/>
    <w:rsid w:val="00834DE1"/>
    <w:rsid w:val="008367F6"/>
    <w:rsid w:val="00840A5D"/>
    <w:rsid w:val="00842C92"/>
    <w:rsid w:val="008438D3"/>
    <w:rsid w:val="00850A07"/>
    <w:rsid w:val="00851230"/>
    <w:rsid w:val="00853395"/>
    <w:rsid w:val="00853916"/>
    <w:rsid w:val="0085405E"/>
    <w:rsid w:val="0085407E"/>
    <w:rsid w:val="00854F7E"/>
    <w:rsid w:val="00855C81"/>
    <w:rsid w:val="008561F5"/>
    <w:rsid w:val="0085697E"/>
    <w:rsid w:val="00857C78"/>
    <w:rsid w:val="00860825"/>
    <w:rsid w:val="008614A0"/>
    <w:rsid w:val="00862EE2"/>
    <w:rsid w:val="00864DD4"/>
    <w:rsid w:val="008653C2"/>
    <w:rsid w:val="00866FC4"/>
    <w:rsid w:val="00871026"/>
    <w:rsid w:val="00871619"/>
    <w:rsid w:val="00874C1D"/>
    <w:rsid w:val="0087569A"/>
    <w:rsid w:val="00876EBC"/>
    <w:rsid w:val="008777B3"/>
    <w:rsid w:val="0088144B"/>
    <w:rsid w:val="008827DE"/>
    <w:rsid w:val="00882F4A"/>
    <w:rsid w:val="00883AFF"/>
    <w:rsid w:val="00884478"/>
    <w:rsid w:val="008868F3"/>
    <w:rsid w:val="00890640"/>
    <w:rsid w:val="00891502"/>
    <w:rsid w:val="00893E9A"/>
    <w:rsid w:val="00893F16"/>
    <w:rsid w:val="00895E6C"/>
    <w:rsid w:val="008A6A9C"/>
    <w:rsid w:val="008A730E"/>
    <w:rsid w:val="008A740B"/>
    <w:rsid w:val="008A7505"/>
    <w:rsid w:val="008A7DEF"/>
    <w:rsid w:val="008B08D2"/>
    <w:rsid w:val="008B1F23"/>
    <w:rsid w:val="008B23B0"/>
    <w:rsid w:val="008B3C76"/>
    <w:rsid w:val="008B6E01"/>
    <w:rsid w:val="008C172E"/>
    <w:rsid w:val="008C3A90"/>
    <w:rsid w:val="008C482E"/>
    <w:rsid w:val="008C4946"/>
    <w:rsid w:val="008C4D31"/>
    <w:rsid w:val="008C4F66"/>
    <w:rsid w:val="008D0503"/>
    <w:rsid w:val="008D1DF0"/>
    <w:rsid w:val="008D334E"/>
    <w:rsid w:val="008D453E"/>
    <w:rsid w:val="008D7677"/>
    <w:rsid w:val="008E11EB"/>
    <w:rsid w:val="008E1752"/>
    <w:rsid w:val="008E257B"/>
    <w:rsid w:val="008E3C96"/>
    <w:rsid w:val="008E4B43"/>
    <w:rsid w:val="008E51A3"/>
    <w:rsid w:val="008E6212"/>
    <w:rsid w:val="008E7138"/>
    <w:rsid w:val="008E7279"/>
    <w:rsid w:val="008F5064"/>
    <w:rsid w:val="008F590B"/>
    <w:rsid w:val="008F614F"/>
    <w:rsid w:val="008F65CE"/>
    <w:rsid w:val="008F72CA"/>
    <w:rsid w:val="008F7DAF"/>
    <w:rsid w:val="00900EC6"/>
    <w:rsid w:val="00902B92"/>
    <w:rsid w:val="00907346"/>
    <w:rsid w:val="009118FB"/>
    <w:rsid w:val="00913E1E"/>
    <w:rsid w:val="00915E61"/>
    <w:rsid w:val="0091647B"/>
    <w:rsid w:val="00917295"/>
    <w:rsid w:val="0092010C"/>
    <w:rsid w:val="00920D49"/>
    <w:rsid w:val="00923C93"/>
    <w:rsid w:val="009250AF"/>
    <w:rsid w:val="00926249"/>
    <w:rsid w:val="009263AB"/>
    <w:rsid w:val="00927B68"/>
    <w:rsid w:val="00930DD3"/>
    <w:rsid w:val="00932B1D"/>
    <w:rsid w:val="0093637E"/>
    <w:rsid w:val="00941C33"/>
    <w:rsid w:val="00942CE5"/>
    <w:rsid w:val="00943226"/>
    <w:rsid w:val="00944EA0"/>
    <w:rsid w:val="009461DC"/>
    <w:rsid w:val="009474E4"/>
    <w:rsid w:val="00947EB8"/>
    <w:rsid w:val="00950AF5"/>
    <w:rsid w:val="00950FDC"/>
    <w:rsid w:val="0095276D"/>
    <w:rsid w:val="009533BF"/>
    <w:rsid w:val="0095569E"/>
    <w:rsid w:val="009556F5"/>
    <w:rsid w:val="0095577D"/>
    <w:rsid w:val="009564F6"/>
    <w:rsid w:val="0095679B"/>
    <w:rsid w:val="00956D65"/>
    <w:rsid w:val="00957875"/>
    <w:rsid w:val="009616B2"/>
    <w:rsid w:val="00965A54"/>
    <w:rsid w:val="00967225"/>
    <w:rsid w:val="009676E6"/>
    <w:rsid w:val="00967826"/>
    <w:rsid w:val="0097021E"/>
    <w:rsid w:val="00973BD5"/>
    <w:rsid w:val="00974D79"/>
    <w:rsid w:val="00975E29"/>
    <w:rsid w:val="009838F4"/>
    <w:rsid w:val="00984E31"/>
    <w:rsid w:val="00986CBA"/>
    <w:rsid w:val="00992234"/>
    <w:rsid w:val="00995FDB"/>
    <w:rsid w:val="00997622"/>
    <w:rsid w:val="009A3261"/>
    <w:rsid w:val="009A38C0"/>
    <w:rsid w:val="009A4180"/>
    <w:rsid w:val="009A4487"/>
    <w:rsid w:val="009A69EE"/>
    <w:rsid w:val="009A6DD7"/>
    <w:rsid w:val="009B145C"/>
    <w:rsid w:val="009B19BB"/>
    <w:rsid w:val="009B3B5E"/>
    <w:rsid w:val="009B4AAF"/>
    <w:rsid w:val="009C01D3"/>
    <w:rsid w:val="009C0A3A"/>
    <w:rsid w:val="009C2A0F"/>
    <w:rsid w:val="009C3362"/>
    <w:rsid w:val="009C5963"/>
    <w:rsid w:val="009C6C51"/>
    <w:rsid w:val="009C71CC"/>
    <w:rsid w:val="009C789A"/>
    <w:rsid w:val="009D083B"/>
    <w:rsid w:val="009D0BD8"/>
    <w:rsid w:val="009D0BF3"/>
    <w:rsid w:val="009D2DC8"/>
    <w:rsid w:val="009D4169"/>
    <w:rsid w:val="009D41A7"/>
    <w:rsid w:val="009D5110"/>
    <w:rsid w:val="009D650B"/>
    <w:rsid w:val="009E0208"/>
    <w:rsid w:val="009E0736"/>
    <w:rsid w:val="009E10B6"/>
    <w:rsid w:val="009E1A7A"/>
    <w:rsid w:val="009E4A5C"/>
    <w:rsid w:val="009E53D3"/>
    <w:rsid w:val="009E6513"/>
    <w:rsid w:val="009E79E1"/>
    <w:rsid w:val="009F0036"/>
    <w:rsid w:val="009F46F4"/>
    <w:rsid w:val="009F6605"/>
    <w:rsid w:val="009F72EF"/>
    <w:rsid w:val="00A00CC9"/>
    <w:rsid w:val="00A010B8"/>
    <w:rsid w:val="00A01DCC"/>
    <w:rsid w:val="00A0204E"/>
    <w:rsid w:val="00A02928"/>
    <w:rsid w:val="00A03DDD"/>
    <w:rsid w:val="00A07C2E"/>
    <w:rsid w:val="00A07D13"/>
    <w:rsid w:val="00A10727"/>
    <w:rsid w:val="00A11D53"/>
    <w:rsid w:val="00A14D25"/>
    <w:rsid w:val="00A1516A"/>
    <w:rsid w:val="00A20CEF"/>
    <w:rsid w:val="00A20DC9"/>
    <w:rsid w:val="00A2208A"/>
    <w:rsid w:val="00A22717"/>
    <w:rsid w:val="00A23DCE"/>
    <w:rsid w:val="00A24E65"/>
    <w:rsid w:val="00A25D80"/>
    <w:rsid w:val="00A274D9"/>
    <w:rsid w:val="00A27DD6"/>
    <w:rsid w:val="00A30257"/>
    <w:rsid w:val="00A323F3"/>
    <w:rsid w:val="00A340C1"/>
    <w:rsid w:val="00A35C4C"/>
    <w:rsid w:val="00A375EB"/>
    <w:rsid w:val="00A4034F"/>
    <w:rsid w:val="00A51F86"/>
    <w:rsid w:val="00A5327D"/>
    <w:rsid w:val="00A53464"/>
    <w:rsid w:val="00A5354C"/>
    <w:rsid w:val="00A53F9D"/>
    <w:rsid w:val="00A55D78"/>
    <w:rsid w:val="00A56AF0"/>
    <w:rsid w:val="00A56F88"/>
    <w:rsid w:val="00A57FC4"/>
    <w:rsid w:val="00A664B7"/>
    <w:rsid w:val="00A66636"/>
    <w:rsid w:val="00A6672A"/>
    <w:rsid w:val="00A67BDF"/>
    <w:rsid w:val="00A67F77"/>
    <w:rsid w:val="00A71D92"/>
    <w:rsid w:val="00A73FD2"/>
    <w:rsid w:val="00A7408A"/>
    <w:rsid w:val="00A77150"/>
    <w:rsid w:val="00A802C3"/>
    <w:rsid w:val="00A803DE"/>
    <w:rsid w:val="00A805AB"/>
    <w:rsid w:val="00A80C5D"/>
    <w:rsid w:val="00A80C65"/>
    <w:rsid w:val="00A81072"/>
    <w:rsid w:val="00A81780"/>
    <w:rsid w:val="00A81EA4"/>
    <w:rsid w:val="00A8214A"/>
    <w:rsid w:val="00A82924"/>
    <w:rsid w:val="00A83962"/>
    <w:rsid w:val="00A85BC6"/>
    <w:rsid w:val="00A85D35"/>
    <w:rsid w:val="00A85FEC"/>
    <w:rsid w:val="00A868AC"/>
    <w:rsid w:val="00A901DA"/>
    <w:rsid w:val="00A91461"/>
    <w:rsid w:val="00A9160A"/>
    <w:rsid w:val="00A91E40"/>
    <w:rsid w:val="00A939F7"/>
    <w:rsid w:val="00A95193"/>
    <w:rsid w:val="00A95226"/>
    <w:rsid w:val="00A96422"/>
    <w:rsid w:val="00A968FF"/>
    <w:rsid w:val="00A96C40"/>
    <w:rsid w:val="00A978D2"/>
    <w:rsid w:val="00AA2A53"/>
    <w:rsid w:val="00AA3B01"/>
    <w:rsid w:val="00AA56A5"/>
    <w:rsid w:val="00AA6314"/>
    <w:rsid w:val="00AA6769"/>
    <w:rsid w:val="00AA68CD"/>
    <w:rsid w:val="00AA71EB"/>
    <w:rsid w:val="00AA7F41"/>
    <w:rsid w:val="00AB1154"/>
    <w:rsid w:val="00AB2468"/>
    <w:rsid w:val="00AB35CB"/>
    <w:rsid w:val="00AB39B4"/>
    <w:rsid w:val="00AB3A03"/>
    <w:rsid w:val="00AB4138"/>
    <w:rsid w:val="00AB5F01"/>
    <w:rsid w:val="00AC0178"/>
    <w:rsid w:val="00AC04F1"/>
    <w:rsid w:val="00AC0839"/>
    <w:rsid w:val="00AC08D3"/>
    <w:rsid w:val="00AC0A61"/>
    <w:rsid w:val="00AC1F76"/>
    <w:rsid w:val="00AC2004"/>
    <w:rsid w:val="00AC32FF"/>
    <w:rsid w:val="00AC4108"/>
    <w:rsid w:val="00AC5F4A"/>
    <w:rsid w:val="00AC600D"/>
    <w:rsid w:val="00AC63E9"/>
    <w:rsid w:val="00AC7F98"/>
    <w:rsid w:val="00AD4907"/>
    <w:rsid w:val="00AD5255"/>
    <w:rsid w:val="00AE03D1"/>
    <w:rsid w:val="00AE3DCB"/>
    <w:rsid w:val="00AE4147"/>
    <w:rsid w:val="00AE54BC"/>
    <w:rsid w:val="00AE6CDD"/>
    <w:rsid w:val="00AF0469"/>
    <w:rsid w:val="00AF07B8"/>
    <w:rsid w:val="00AF1C3B"/>
    <w:rsid w:val="00AF2593"/>
    <w:rsid w:val="00AF2ED0"/>
    <w:rsid w:val="00AF48BB"/>
    <w:rsid w:val="00AF5007"/>
    <w:rsid w:val="00AF519A"/>
    <w:rsid w:val="00AF5A2B"/>
    <w:rsid w:val="00AF5C9A"/>
    <w:rsid w:val="00AF5CC6"/>
    <w:rsid w:val="00AF79B9"/>
    <w:rsid w:val="00AF7EB3"/>
    <w:rsid w:val="00B006FC"/>
    <w:rsid w:val="00B04F71"/>
    <w:rsid w:val="00B05C75"/>
    <w:rsid w:val="00B079C7"/>
    <w:rsid w:val="00B10AB6"/>
    <w:rsid w:val="00B10EFC"/>
    <w:rsid w:val="00B2115D"/>
    <w:rsid w:val="00B21733"/>
    <w:rsid w:val="00B22D42"/>
    <w:rsid w:val="00B23432"/>
    <w:rsid w:val="00B23B27"/>
    <w:rsid w:val="00B24008"/>
    <w:rsid w:val="00B24155"/>
    <w:rsid w:val="00B2467B"/>
    <w:rsid w:val="00B26684"/>
    <w:rsid w:val="00B267A6"/>
    <w:rsid w:val="00B26B96"/>
    <w:rsid w:val="00B276FD"/>
    <w:rsid w:val="00B278E0"/>
    <w:rsid w:val="00B318F5"/>
    <w:rsid w:val="00B31CC6"/>
    <w:rsid w:val="00B320E9"/>
    <w:rsid w:val="00B328F0"/>
    <w:rsid w:val="00B32919"/>
    <w:rsid w:val="00B337A1"/>
    <w:rsid w:val="00B3383C"/>
    <w:rsid w:val="00B350EE"/>
    <w:rsid w:val="00B36DC6"/>
    <w:rsid w:val="00B37567"/>
    <w:rsid w:val="00B37589"/>
    <w:rsid w:val="00B4114D"/>
    <w:rsid w:val="00B4293A"/>
    <w:rsid w:val="00B43131"/>
    <w:rsid w:val="00B4419B"/>
    <w:rsid w:val="00B46630"/>
    <w:rsid w:val="00B46820"/>
    <w:rsid w:val="00B469A7"/>
    <w:rsid w:val="00B47068"/>
    <w:rsid w:val="00B4794D"/>
    <w:rsid w:val="00B50C71"/>
    <w:rsid w:val="00B52644"/>
    <w:rsid w:val="00B546A4"/>
    <w:rsid w:val="00B54A7A"/>
    <w:rsid w:val="00B56915"/>
    <w:rsid w:val="00B60362"/>
    <w:rsid w:val="00B6112E"/>
    <w:rsid w:val="00B62E3F"/>
    <w:rsid w:val="00B63168"/>
    <w:rsid w:val="00B639C9"/>
    <w:rsid w:val="00B647B9"/>
    <w:rsid w:val="00B6563F"/>
    <w:rsid w:val="00B6584E"/>
    <w:rsid w:val="00B714E9"/>
    <w:rsid w:val="00B717AE"/>
    <w:rsid w:val="00B72F3B"/>
    <w:rsid w:val="00B73BC3"/>
    <w:rsid w:val="00B73D59"/>
    <w:rsid w:val="00B75FD5"/>
    <w:rsid w:val="00B76616"/>
    <w:rsid w:val="00B80C62"/>
    <w:rsid w:val="00B8126E"/>
    <w:rsid w:val="00B81F62"/>
    <w:rsid w:val="00B83A21"/>
    <w:rsid w:val="00B83A6E"/>
    <w:rsid w:val="00B8688E"/>
    <w:rsid w:val="00B876D4"/>
    <w:rsid w:val="00B87E9C"/>
    <w:rsid w:val="00B9164D"/>
    <w:rsid w:val="00B92F3D"/>
    <w:rsid w:val="00B94766"/>
    <w:rsid w:val="00B9600C"/>
    <w:rsid w:val="00B9656C"/>
    <w:rsid w:val="00BA2480"/>
    <w:rsid w:val="00BA33A9"/>
    <w:rsid w:val="00BA4B5D"/>
    <w:rsid w:val="00BB1E35"/>
    <w:rsid w:val="00BB223D"/>
    <w:rsid w:val="00BB29D5"/>
    <w:rsid w:val="00BB5DDB"/>
    <w:rsid w:val="00BC156E"/>
    <w:rsid w:val="00BC1D8A"/>
    <w:rsid w:val="00BC224B"/>
    <w:rsid w:val="00BC2536"/>
    <w:rsid w:val="00BC60F7"/>
    <w:rsid w:val="00BC6338"/>
    <w:rsid w:val="00BC63F1"/>
    <w:rsid w:val="00BC707F"/>
    <w:rsid w:val="00BC773C"/>
    <w:rsid w:val="00BC7C0B"/>
    <w:rsid w:val="00BD4014"/>
    <w:rsid w:val="00BD47A6"/>
    <w:rsid w:val="00BD4E7F"/>
    <w:rsid w:val="00BD577C"/>
    <w:rsid w:val="00BD6B8C"/>
    <w:rsid w:val="00BD7503"/>
    <w:rsid w:val="00BD781C"/>
    <w:rsid w:val="00BE11E2"/>
    <w:rsid w:val="00BE19C8"/>
    <w:rsid w:val="00BE1A49"/>
    <w:rsid w:val="00BE20DF"/>
    <w:rsid w:val="00BE2BC1"/>
    <w:rsid w:val="00BE38C1"/>
    <w:rsid w:val="00BE5A93"/>
    <w:rsid w:val="00BE6188"/>
    <w:rsid w:val="00BE7747"/>
    <w:rsid w:val="00BF0D84"/>
    <w:rsid w:val="00BF107E"/>
    <w:rsid w:val="00BF5D1C"/>
    <w:rsid w:val="00BF7CB1"/>
    <w:rsid w:val="00C0060E"/>
    <w:rsid w:val="00C006BA"/>
    <w:rsid w:val="00C00B33"/>
    <w:rsid w:val="00C0292D"/>
    <w:rsid w:val="00C03BE4"/>
    <w:rsid w:val="00C066D7"/>
    <w:rsid w:val="00C074BA"/>
    <w:rsid w:val="00C10AFD"/>
    <w:rsid w:val="00C11D1D"/>
    <w:rsid w:val="00C12F37"/>
    <w:rsid w:val="00C162B2"/>
    <w:rsid w:val="00C1647A"/>
    <w:rsid w:val="00C21420"/>
    <w:rsid w:val="00C21A05"/>
    <w:rsid w:val="00C21CD6"/>
    <w:rsid w:val="00C228C7"/>
    <w:rsid w:val="00C22C03"/>
    <w:rsid w:val="00C2351B"/>
    <w:rsid w:val="00C23E5A"/>
    <w:rsid w:val="00C23F41"/>
    <w:rsid w:val="00C253F3"/>
    <w:rsid w:val="00C2560E"/>
    <w:rsid w:val="00C26046"/>
    <w:rsid w:val="00C30BBC"/>
    <w:rsid w:val="00C30DA9"/>
    <w:rsid w:val="00C312D7"/>
    <w:rsid w:val="00C31672"/>
    <w:rsid w:val="00C3265D"/>
    <w:rsid w:val="00C32E13"/>
    <w:rsid w:val="00C35D76"/>
    <w:rsid w:val="00C36168"/>
    <w:rsid w:val="00C41DEC"/>
    <w:rsid w:val="00C42864"/>
    <w:rsid w:val="00C42FB8"/>
    <w:rsid w:val="00C46981"/>
    <w:rsid w:val="00C50E45"/>
    <w:rsid w:val="00C51ADC"/>
    <w:rsid w:val="00C573EA"/>
    <w:rsid w:val="00C57CB3"/>
    <w:rsid w:val="00C60A16"/>
    <w:rsid w:val="00C62FC3"/>
    <w:rsid w:val="00C652DB"/>
    <w:rsid w:val="00C71167"/>
    <w:rsid w:val="00C716AB"/>
    <w:rsid w:val="00C73714"/>
    <w:rsid w:val="00C75DBD"/>
    <w:rsid w:val="00C77C41"/>
    <w:rsid w:val="00C81574"/>
    <w:rsid w:val="00C85A1D"/>
    <w:rsid w:val="00C87506"/>
    <w:rsid w:val="00C912F2"/>
    <w:rsid w:val="00C91C54"/>
    <w:rsid w:val="00C92766"/>
    <w:rsid w:val="00C93FE3"/>
    <w:rsid w:val="00CA09F1"/>
    <w:rsid w:val="00CA1DCB"/>
    <w:rsid w:val="00CA1ED6"/>
    <w:rsid w:val="00CA2C9F"/>
    <w:rsid w:val="00CA34A8"/>
    <w:rsid w:val="00CA4DFA"/>
    <w:rsid w:val="00CA7088"/>
    <w:rsid w:val="00CB153B"/>
    <w:rsid w:val="00CB1C13"/>
    <w:rsid w:val="00CB331B"/>
    <w:rsid w:val="00CB3684"/>
    <w:rsid w:val="00CB52B2"/>
    <w:rsid w:val="00CB5A91"/>
    <w:rsid w:val="00CB5B52"/>
    <w:rsid w:val="00CB6746"/>
    <w:rsid w:val="00CC2412"/>
    <w:rsid w:val="00CC4894"/>
    <w:rsid w:val="00CC5FDB"/>
    <w:rsid w:val="00CC641B"/>
    <w:rsid w:val="00CC711C"/>
    <w:rsid w:val="00CD16E6"/>
    <w:rsid w:val="00CD1F1B"/>
    <w:rsid w:val="00CD2B48"/>
    <w:rsid w:val="00CD307F"/>
    <w:rsid w:val="00CD3E31"/>
    <w:rsid w:val="00CD63DE"/>
    <w:rsid w:val="00CD659F"/>
    <w:rsid w:val="00CD7612"/>
    <w:rsid w:val="00CE30A7"/>
    <w:rsid w:val="00CE487D"/>
    <w:rsid w:val="00CE4B55"/>
    <w:rsid w:val="00CE559E"/>
    <w:rsid w:val="00CF1265"/>
    <w:rsid w:val="00CF2EFB"/>
    <w:rsid w:val="00CF3F31"/>
    <w:rsid w:val="00CF59EC"/>
    <w:rsid w:val="00CF5CE3"/>
    <w:rsid w:val="00CF6C31"/>
    <w:rsid w:val="00CF72D2"/>
    <w:rsid w:val="00CF72EF"/>
    <w:rsid w:val="00D01063"/>
    <w:rsid w:val="00D01856"/>
    <w:rsid w:val="00D01A2D"/>
    <w:rsid w:val="00D01A66"/>
    <w:rsid w:val="00D01BB8"/>
    <w:rsid w:val="00D02169"/>
    <w:rsid w:val="00D02C53"/>
    <w:rsid w:val="00D04C29"/>
    <w:rsid w:val="00D0775D"/>
    <w:rsid w:val="00D07CD5"/>
    <w:rsid w:val="00D10683"/>
    <w:rsid w:val="00D11A6D"/>
    <w:rsid w:val="00D1420E"/>
    <w:rsid w:val="00D14C06"/>
    <w:rsid w:val="00D15821"/>
    <w:rsid w:val="00D16403"/>
    <w:rsid w:val="00D1668C"/>
    <w:rsid w:val="00D176C6"/>
    <w:rsid w:val="00D22703"/>
    <w:rsid w:val="00D23943"/>
    <w:rsid w:val="00D24378"/>
    <w:rsid w:val="00D24D21"/>
    <w:rsid w:val="00D2681D"/>
    <w:rsid w:val="00D26D08"/>
    <w:rsid w:val="00D33D63"/>
    <w:rsid w:val="00D33F49"/>
    <w:rsid w:val="00D340C1"/>
    <w:rsid w:val="00D35FF3"/>
    <w:rsid w:val="00D36707"/>
    <w:rsid w:val="00D37907"/>
    <w:rsid w:val="00D426A4"/>
    <w:rsid w:val="00D44BEA"/>
    <w:rsid w:val="00D47E75"/>
    <w:rsid w:val="00D52416"/>
    <w:rsid w:val="00D52A77"/>
    <w:rsid w:val="00D53B58"/>
    <w:rsid w:val="00D5419F"/>
    <w:rsid w:val="00D5431C"/>
    <w:rsid w:val="00D546DC"/>
    <w:rsid w:val="00D55180"/>
    <w:rsid w:val="00D565C0"/>
    <w:rsid w:val="00D57663"/>
    <w:rsid w:val="00D57805"/>
    <w:rsid w:val="00D5793D"/>
    <w:rsid w:val="00D61BB2"/>
    <w:rsid w:val="00D61C36"/>
    <w:rsid w:val="00D6300C"/>
    <w:rsid w:val="00D63F09"/>
    <w:rsid w:val="00D6426A"/>
    <w:rsid w:val="00D64684"/>
    <w:rsid w:val="00D64BC2"/>
    <w:rsid w:val="00D652E3"/>
    <w:rsid w:val="00D669EE"/>
    <w:rsid w:val="00D713A8"/>
    <w:rsid w:val="00D718E4"/>
    <w:rsid w:val="00D72080"/>
    <w:rsid w:val="00D72DCF"/>
    <w:rsid w:val="00D72F5E"/>
    <w:rsid w:val="00D73BD2"/>
    <w:rsid w:val="00D74351"/>
    <w:rsid w:val="00D7659D"/>
    <w:rsid w:val="00D766B9"/>
    <w:rsid w:val="00D77341"/>
    <w:rsid w:val="00D80B67"/>
    <w:rsid w:val="00D90895"/>
    <w:rsid w:val="00D90F99"/>
    <w:rsid w:val="00D91E70"/>
    <w:rsid w:val="00D92A3C"/>
    <w:rsid w:val="00D93296"/>
    <w:rsid w:val="00D93857"/>
    <w:rsid w:val="00D94DF3"/>
    <w:rsid w:val="00D9680A"/>
    <w:rsid w:val="00D96D18"/>
    <w:rsid w:val="00D9779A"/>
    <w:rsid w:val="00DA042E"/>
    <w:rsid w:val="00DA1218"/>
    <w:rsid w:val="00DA1313"/>
    <w:rsid w:val="00DA1441"/>
    <w:rsid w:val="00DA6905"/>
    <w:rsid w:val="00DA6B3E"/>
    <w:rsid w:val="00DA6FAF"/>
    <w:rsid w:val="00DA79FE"/>
    <w:rsid w:val="00DA7AA6"/>
    <w:rsid w:val="00DA7ED9"/>
    <w:rsid w:val="00DB0DCB"/>
    <w:rsid w:val="00DB1E10"/>
    <w:rsid w:val="00DB470E"/>
    <w:rsid w:val="00DB47C0"/>
    <w:rsid w:val="00DB539F"/>
    <w:rsid w:val="00DB5D24"/>
    <w:rsid w:val="00DB5FB9"/>
    <w:rsid w:val="00DB7AFB"/>
    <w:rsid w:val="00DB7B64"/>
    <w:rsid w:val="00DC0C55"/>
    <w:rsid w:val="00DC1265"/>
    <w:rsid w:val="00DC2BD2"/>
    <w:rsid w:val="00DC467D"/>
    <w:rsid w:val="00DC4D67"/>
    <w:rsid w:val="00DC5057"/>
    <w:rsid w:val="00DC54C0"/>
    <w:rsid w:val="00DC55E8"/>
    <w:rsid w:val="00DD353C"/>
    <w:rsid w:val="00DD3A36"/>
    <w:rsid w:val="00DD5215"/>
    <w:rsid w:val="00DD53E5"/>
    <w:rsid w:val="00DD6418"/>
    <w:rsid w:val="00DE057B"/>
    <w:rsid w:val="00DE0F8B"/>
    <w:rsid w:val="00DE23C7"/>
    <w:rsid w:val="00DE2552"/>
    <w:rsid w:val="00DE6A47"/>
    <w:rsid w:val="00DE6BD1"/>
    <w:rsid w:val="00DE799E"/>
    <w:rsid w:val="00DE7CB2"/>
    <w:rsid w:val="00E0017C"/>
    <w:rsid w:val="00E00221"/>
    <w:rsid w:val="00E00DDB"/>
    <w:rsid w:val="00E02D8B"/>
    <w:rsid w:val="00E10546"/>
    <w:rsid w:val="00E10E21"/>
    <w:rsid w:val="00E12FA1"/>
    <w:rsid w:val="00E15CE1"/>
    <w:rsid w:val="00E165A7"/>
    <w:rsid w:val="00E2470E"/>
    <w:rsid w:val="00E30A86"/>
    <w:rsid w:val="00E31023"/>
    <w:rsid w:val="00E32708"/>
    <w:rsid w:val="00E327D2"/>
    <w:rsid w:val="00E32C28"/>
    <w:rsid w:val="00E34622"/>
    <w:rsid w:val="00E35096"/>
    <w:rsid w:val="00E358D5"/>
    <w:rsid w:val="00E40303"/>
    <w:rsid w:val="00E41BBC"/>
    <w:rsid w:val="00E42FE0"/>
    <w:rsid w:val="00E43640"/>
    <w:rsid w:val="00E447CC"/>
    <w:rsid w:val="00E4521B"/>
    <w:rsid w:val="00E4566E"/>
    <w:rsid w:val="00E45CDC"/>
    <w:rsid w:val="00E46BCF"/>
    <w:rsid w:val="00E46DF7"/>
    <w:rsid w:val="00E4702D"/>
    <w:rsid w:val="00E52CCC"/>
    <w:rsid w:val="00E53B23"/>
    <w:rsid w:val="00E54D7E"/>
    <w:rsid w:val="00E54DA0"/>
    <w:rsid w:val="00E55E13"/>
    <w:rsid w:val="00E561D2"/>
    <w:rsid w:val="00E60859"/>
    <w:rsid w:val="00E61C44"/>
    <w:rsid w:val="00E61E0E"/>
    <w:rsid w:val="00E62B1E"/>
    <w:rsid w:val="00E63A67"/>
    <w:rsid w:val="00E64560"/>
    <w:rsid w:val="00E647BC"/>
    <w:rsid w:val="00E65143"/>
    <w:rsid w:val="00E656D7"/>
    <w:rsid w:val="00E67C68"/>
    <w:rsid w:val="00E7092B"/>
    <w:rsid w:val="00E7107F"/>
    <w:rsid w:val="00E72D3F"/>
    <w:rsid w:val="00E7430B"/>
    <w:rsid w:val="00E746C2"/>
    <w:rsid w:val="00E8144C"/>
    <w:rsid w:val="00E85ADC"/>
    <w:rsid w:val="00E867D3"/>
    <w:rsid w:val="00E86AD2"/>
    <w:rsid w:val="00E903E1"/>
    <w:rsid w:val="00E90590"/>
    <w:rsid w:val="00E91321"/>
    <w:rsid w:val="00E92A43"/>
    <w:rsid w:val="00E9357C"/>
    <w:rsid w:val="00E955E6"/>
    <w:rsid w:val="00E95930"/>
    <w:rsid w:val="00EA2C4B"/>
    <w:rsid w:val="00EA48A1"/>
    <w:rsid w:val="00EA4B81"/>
    <w:rsid w:val="00EA62EA"/>
    <w:rsid w:val="00EA6792"/>
    <w:rsid w:val="00EB0827"/>
    <w:rsid w:val="00EB0852"/>
    <w:rsid w:val="00EB1666"/>
    <w:rsid w:val="00EB22CB"/>
    <w:rsid w:val="00EB23EB"/>
    <w:rsid w:val="00EB25C7"/>
    <w:rsid w:val="00EB3B3B"/>
    <w:rsid w:val="00EB5BED"/>
    <w:rsid w:val="00EB5FAD"/>
    <w:rsid w:val="00EB6341"/>
    <w:rsid w:val="00EB6552"/>
    <w:rsid w:val="00EB6734"/>
    <w:rsid w:val="00EB6753"/>
    <w:rsid w:val="00EB67A0"/>
    <w:rsid w:val="00EB67AA"/>
    <w:rsid w:val="00EB6B3F"/>
    <w:rsid w:val="00EC1653"/>
    <w:rsid w:val="00EC1716"/>
    <w:rsid w:val="00EC2A5B"/>
    <w:rsid w:val="00EC34F9"/>
    <w:rsid w:val="00EC67DC"/>
    <w:rsid w:val="00ED2035"/>
    <w:rsid w:val="00ED380F"/>
    <w:rsid w:val="00ED3D40"/>
    <w:rsid w:val="00ED4924"/>
    <w:rsid w:val="00ED779A"/>
    <w:rsid w:val="00EE2AC4"/>
    <w:rsid w:val="00EE2FCD"/>
    <w:rsid w:val="00EE47C2"/>
    <w:rsid w:val="00EE561F"/>
    <w:rsid w:val="00EE6611"/>
    <w:rsid w:val="00EE7326"/>
    <w:rsid w:val="00EF21FC"/>
    <w:rsid w:val="00EF2748"/>
    <w:rsid w:val="00EF31EE"/>
    <w:rsid w:val="00EF3215"/>
    <w:rsid w:val="00EF485B"/>
    <w:rsid w:val="00EF5A29"/>
    <w:rsid w:val="00EF616F"/>
    <w:rsid w:val="00EF6E84"/>
    <w:rsid w:val="00F0003B"/>
    <w:rsid w:val="00F01D54"/>
    <w:rsid w:val="00F027FD"/>
    <w:rsid w:val="00F061F1"/>
    <w:rsid w:val="00F11973"/>
    <w:rsid w:val="00F13F95"/>
    <w:rsid w:val="00F15060"/>
    <w:rsid w:val="00F16D49"/>
    <w:rsid w:val="00F17CC0"/>
    <w:rsid w:val="00F209FB"/>
    <w:rsid w:val="00F21BD1"/>
    <w:rsid w:val="00F21E1F"/>
    <w:rsid w:val="00F22DE4"/>
    <w:rsid w:val="00F243A3"/>
    <w:rsid w:val="00F254FD"/>
    <w:rsid w:val="00F26534"/>
    <w:rsid w:val="00F26C69"/>
    <w:rsid w:val="00F27E30"/>
    <w:rsid w:val="00F30779"/>
    <w:rsid w:val="00F32AA7"/>
    <w:rsid w:val="00F34083"/>
    <w:rsid w:val="00F418DA"/>
    <w:rsid w:val="00F4219F"/>
    <w:rsid w:val="00F42D10"/>
    <w:rsid w:val="00F44946"/>
    <w:rsid w:val="00F46A6F"/>
    <w:rsid w:val="00F4799F"/>
    <w:rsid w:val="00F5200B"/>
    <w:rsid w:val="00F52A94"/>
    <w:rsid w:val="00F546D8"/>
    <w:rsid w:val="00F548B0"/>
    <w:rsid w:val="00F550EA"/>
    <w:rsid w:val="00F557D8"/>
    <w:rsid w:val="00F55A0F"/>
    <w:rsid w:val="00F56597"/>
    <w:rsid w:val="00F57AD4"/>
    <w:rsid w:val="00F605EC"/>
    <w:rsid w:val="00F61B87"/>
    <w:rsid w:val="00F62841"/>
    <w:rsid w:val="00F64243"/>
    <w:rsid w:val="00F669D5"/>
    <w:rsid w:val="00F66EA5"/>
    <w:rsid w:val="00F6737E"/>
    <w:rsid w:val="00F705FC"/>
    <w:rsid w:val="00F70943"/>
    <w:rsid w:val="00F72929"/>
    <w:rsid w:val="00F73873"/>
    <w:rsid w:val="00F7404D"/>
    <w:rsid w:val="00F74A31"/>
    <w:rsid w:val="00F778D6"/>
    <w:rsid w:val="00F811AD"/>
    <w:rsid w:val="00F81363"/>
    <w:rsid w:val="00F83A2D"/>
    <w:rsid w:val="00F84C51"/>
    <w:rsid w:val="00F84CB9"/>
    <w:rsid w:val="00F84CDA"/>
    <w:rsid w:val="00F851E8"/>
    <w:rsid w:val="00F85476"/>
    <w:rsid w:val="00F87A37"/>
    <w:rsid w:val="00F87BF7"/>
    <w:rsid w:val="00F90E6D"/>
    <w:rsid w:val="00F91B01"/>
    <w:rsid w:val="00F932E2"/>
    <w:rsid w:val="00F947A8"/>
    <w:rsid w:val="00F96002"/>
    <w:rsid w:val="00F9766E"/>
    <w:rsid w:val="00F97E29"/>
    <w:rsid w:val="00FA049F"/>
    <w:rsid w:val="00FA0BB7"/>
    <w:rsid w:val="00FA1779"/>
    <w:rsid w:val="00FA21FA"/>
    <w:rsid w:val="00FA2911"/>
    <w:rsid w:val="00FA2D37"/>
    <w:rsid w:val="00FA2F6D"/>
    <w:rsid w:val="00FA4464"/>
    <w:rsid w:val="00FA6D2A"/>
    <w:rsid w:val="00FB0836"/>
    <w:rsid w:val="00FB0D4F"/>
    <w:rsid w:val="00FB23BD"/>
    <w:rsid w:val="00FB26D6"/>
    <w:rsid w:val="00FB2860"/>
    <w:rsid w:val="00FB6EC7"/>
    <w:rsid w:val="00FC0CE2"/>
    <w:rsid w:val="00FC36DC"/>
    <w:rsid w:val="00FC41D8"/>
    <w:rsid w:val="00FC573E"/>
    <w:rsid w:val="00FC6061"/>
    <w:rsid w:val="00FC7D70"/>
    <w:rsid w:val="00FD095F"/>
    <w:rsid w:val="00FD09F8"/>
    <w:rsid w:val="00FD1903"/>
    <w:rsid w:val="00FD36E1"/>
    <w:rsid w:val="00FD5314"/>
    <w:rsid w:val="00FD54CB"/>
    <w:rsid w:val="00FD6430"/>
    <w:rsid w:val="00FD68EE"/>
    <w:rsid w:val="00FD697A"/>
    <w:rsid w:val="00FD7F01"/>
    <w:rsid w:val="00FE0326"/>
    <w:rsid w:val="00FE10C7"/>
    <w:rsid w:val="00FE1513"/>
    <w:rsid w:val="00FE2671"/>
    <w:rsid w:val="00FE4191"/>
    <w:rsid w:val="00FE4679"/>
    <w:rsid w:val="00FE4865"/>
    <w:rsid w:val="00FE79DC"/>
    <w:rsid w:val="00FF0CAC"/>
    <w:rsid w:val="00FF0F16"/>
    <w:rsid w:val="00FF181A"/>
    <w:rsid w:val="00FF37C7"/>
    <w:rsid w:val="00FF5A8E"/>
    <w:rsid w:val="00FF6E0D"/>
    <w:rsid w:val="00FF7A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uiPriority="9"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qFormat="1"/>
    <w:lsdException w:name="macro" w:semiHidden="0" w:unhideWhenUsed="0"/>
    <w:lsdException w:name="List Bullet" w:semiHidden="0" w:unhideWhenUsed="0"/>
    <w:lsdException w:name="List Number" w:semiHidden="0" w:unhideWhenUsed="0"/>
    <w:lsdException w:name="Title" w:locked="1" w:semiHidden="0" w:unhideWhenUsed="0" w:qFormat="1"/>
    <w:lsdException w:name="Default Paragraph Font" w:locked="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locked="1" w:semiHidden="0" w:unhideWhenUsed="0" w:qFormat="1"/>
    <w:lsdException w:name="Strong" w:locked="1" w:semiHidden="0" w:uiPriority="22" w:unhideWhenUsed="0" w:qFormat="1"/>
    <w:lsdException w:name="Emphasis" w:locked="1" w:semiHidden="0" w:uiPriority="20" w:unhideWhenUsed="0" w:qFormat="1"/>
    <w:lsdException w:name="Normal (Web)" w:uiPriority="99"/>
    <w:lsdException w:name="HTML Preformatted" w:uiPriority="99"/>
    <w:lsdException w:name="Balloon Text" w:semiHidden="0" w:unhideWhenUsed="0"/>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31E"/>
    <w:pPr>
      <w:shd w:val="clear" w:color="auto" w:fill="FFFFFF"/>
      <w:spacing w:line="480" w:lineRule="auto"/>
      <w:jc w:val="both"/>
    </w:pPr>
    <w:rPr>
      <w:rFonts w:ascii="Times New Roman" w:eastAsia="Times New Roman" w:hAnsi="Times New Roman"/>
      <w:sz w:val="24"/>
      <w:szCs w:val="24"/>
    </w:rPr>
  </w:style>
  <w:style w:type="paragraph" w:styleId="Heading1">
    <w:name w:val="heading 1"/>
    <w:basedOn w:val="Normal"/>
    <w:link w:val="Heading1Char"/>
    <w:qFormat/>
    <w:rsid w:val="007361C0"/>
    <w:pPr>
      <w:spacing w:before="100" w:beforeAutospacing="1" w:after="100" w:afterAutospacing="1" w:line="240" w:lineRule="auto"/>
      <w:outlineLvl w:val="0"/>
    </w:pPr>
    <w:rPr>
      <w:rFonts w:eastAsia="Calibri"/>
      <w:b/>
      <w:bCs/>
      <w:kern w:val="36"/>
      <w:sz w:val="48"/>
      <w:szCs w:val="48"/>
    </w:rPr>
  </w:style>
  <w:style w:type="paragraph" w:styleId="Heading2">
    <w:name w:val="heading 2"/>
    <w:basedOn w:val="Normal"/>
    <w:next w:val="Normal"/>
    <w:link w:val="Heading2Char"/>
    <w:qFormat/>
    <w:rsid w:val="00615948"/>
    <w:pPr>
      <w:keepNext/>
      <w:keepLines/>
      <w:spacing w:before="200"/>
      <w:outlineLvl w:val="1"/>
    </w:pPr>
    <w:rPr>
      <w:rFonts w:ascii="Cambria" w:eastAsia="Calibri" w:hAnsi="Cambria"/>
      <w:b/>
      <w:bCs/>
      <w:color w:val="4F81BD"/>
      <w:sz w:val="26"/>
      <w:szCs w:val="26"/>
    </w:rPr>
  </w:style>
  <w:style w:type="paragraph" w:styleId="Heading3">
    <w:name w:val="heading 3"/>
    <w:basedOn w:val="Normal"/>
    <w:next w:val="Normal"/>
    <w:link w:val="Heading3Char"/>
    <w:qFormat/>
    <w:rsid w:val="0009099E"/>
    <w:pPr>
      <w:keepNext/>
      <w:keepLines/>
      <w:spacing w:before="200"/>
      <w:outlineLvl w:val="2"/>
    </w:pPr>
    <w:rPr>
      <w:rFonts w:ascii="Cambria" w:eastAsia="Calibri" w:hAnsi="Cambria"/>
      <w:b/>
      <w:bCs/>
      <w:color w:val="4F81BD"/>
      <w:sz w:val="20"/>
      <w:szCs w:val="20"/>
    </w:rPr>
  </w:style>
  <w:style w:type="paragraph" w:styleId="Heading4">
    <w:name w:val="heading 4"/>
    <w:basedOn w:val="Normal"/>
    <w:next w:val="Normal"/>
    <w:link w:val="Heading4Char"/>
    <w:uiPriority w:val="9"/>
    <w:unhideWhenUsed/>
    <w:qFormat/>
    <w:locked/>
    <w:rsid w:val="00014E40"/>
    <w:pPr>
      <w:keepNext/>
      <w:keepLines/>
      <w:shd w:val="clear" w:color="auto" w:fill="auto"/>
      <w:spacing w:before="200"/>
      <w:outlineLvl w:val="3"/>
    </w:pPr>
    <w:rPr>
      <w:rFonts w:ascii="Cambria" w:hAnsi="Cambria"/>
      <w:b/>
      <w:bCs/>
      <w:i/>
      <w:iCs/>
      <w:color w:val="4F81BD"/>
    </w:rPr>
  </w:style>
  <w:style w:type="paragraph" w:styleId="Heading6">
    <w:name w:val="heading 6"/>
    <w:basedOn w:val="Normal"/>
    <w:next w:val="Normal"/>
    <w:link w:val="Heading6Char"/>
    <w:qFormat/>
    <w:locked/>
    <w:rsid w:val="00724536"/>
    <w:pPr>
      <w:spacing w:before="240" w:after="60"/>
      <w:outlineLvl w:val="5"/>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7361C0"/>
    <w:rPr>
      <w:rFonts w:ascii="Times New Roman" w:hAnsi="Times New Roman" w:cs="Times New Roman"/>
      <w:b/>
      <w:bCs/>
      <w:kern w:val="36"/>
      <w:sz w:val="48"/>
      <w:szCs w:val="48"/>
    </w:rPr>
  </w:style>
  <w:style w:type="character" w:customStyle="1" w:styleId="Heading2Char">
    <w:name w:val="Heading 2 Char"/>
    <w:link w:val="Heading2"/>
    <w:locked/>
    <w:rsid w:val="00615948"/>
    <w:rPr>
      <w:rFonts w:ascii="Cambria" w:hAnsi="Cambria" w:cs="Cambria"/>
      <w:b/>
      <w:bCs/>
      <w:color w:val="4F81BD"/>
      <w:sz w:val="26"/>
      <w:szCs w:val="26"/>
    </w:rPr>
  </w:style>
  <w:style w:type="character" w:customStyle="1" w:styleId="Heading3Char">
    <w:name w:val="Heading 3 Char"/>
    <w:link w:val="Heading3"/>
    <w:semiHidden/>
    <w:locked/>
    <w:rsid w:val="0009099E"/>
    <w:rPr>
      <w:rFonts w:ascii="Cambria" w:hAnsi="Cambria" w:cs="Cambria"/>
      <w:b/>
      <w:bCs/>
      <w:color w:val="4F81BD"/>
      <w:shd w:val="clear" w:color="auto" w:fill="FFFFFF"/>
    </w:rPr>
  </w:style>
  <w:style w:type="character" w:customStyle="1" w:styleId="Heading6Char">
    <w:name w:val="Heading 6 Char"/>
    <w:link w:val="Heading6"/>
    <w:locked/>
    <w:rsid w:val="00724536"/>
    <w:rPr>
      <w:rFonts w:cs="Times New Roman"/>
      <w:b/>
      <w:bCs/>
      <w:color w:val="000000"/>
      <w:sz w:val="22"/>
      <w:szCs w:val="22"/>
      <w:lang w:val="en-US" w:eastAsia="en-US"/>
    </w:rPr>
  </w:style>
  <w:style w:type="paragraph" w:styleId="ListParagraph">
    <w:name w:val="List Paragraph"/>
    <w:basedOn w:val="Normal"/>
    <w:qFormat/>
    <w:rsid w:val="00C21CD6"/>
    <w:pPr>
      <w:ind w:left="720"/>
    </w:pPr>
    <w:rPr>
      <w:lang w:val="bs-Latn-BA"/>
    </w:rPr>
  </w:style>
  <w:style w:type="paragraph" w:styleId="BalloonText">
    <w:name w:val="Balloon Text"/>
    <w:basedOn w:val="Normal"/>
    <w:link w:val="BalloonTextChar"/>
    <w:semiHidden/>
    <w:rsid w:val="00F21BD1"/>
    <w:pPr>
      <w:spacing w:line="240" w:lineRule="auto"/>
    </w:pPr>
    <w:rPr>
      <w:rFonts w:ascii="Tahoma" w:eastAsia="Calibri" w:hAnsi="Tahoma"/>
      <w:sz w:val="16"/>
      <w:szCs w:val="16"/>
    </w:rPr>
  </w:style>
  <w:style w:type="character" w:customStyle="1" w:styleId="BalloonTextChar">
    <w:name w:val="Balloon Text Char"/>
    <w:link w:val="BalloonText"/>
    <w:semiHidden/>
    <w:locked/>
    <w:rsid w:val="00F21BD1"/>
    <w:rPr>
      <w:rFonts w:ascii="Tahoma" w:hAnsi="Tahoma" w:cs="Tahoma"/>
      <w:sz w:val="16"/>
      <w:szCs w:val="16"/>
    </w:rPr>
  </w:style>
  <w:style w:type="character" w:customStyle="1" w:styleId="hps">
    <w:name w:val="hps"/>
    <w:uiPriority w:val="99"/>
    <w:rsid w:val="00D766B9"/>
    <w:rPr>
      <w:rFonts w:cs="Times New Roman"/>
    </w:rPr>
  </w:style>
  <w:style w:type="character" w:customStyle="1" w:styleId="apple-converted-space">
    <w:name w:val="apple-converted-space"/>
    <w:rsid w:val="003559EF"/>
    <w:rPr>
      <w:rFonts w:cs="Times New Roman"/>
    </w:rPr>
  </w:style>
  <w:style w:type="paragraph" w:styleId="NormalWeb">
    <w:name w:val="Normal (Web)"/>
    <w:basedOn w:val="Normal"/>
    <w:uiPriority w:val="99"/>
    <w:semiHidden/>
    <w:rsid w:val="003559EF"/>
    <w:pPr>
      <w:spacing w:before="100" w:beforeAutospacing="1" w:after="100" w:afterAutospacing="1" w:line="240" w:lineRule="auto"/>
    </w:pPr>
    <w:rPr>
      <w:rFonts w:eastAsia="Calibri"/>
    </w:rPr>
  </w:style>
  <w:style w:type="character" w:styleId="Hyperlink">
    <w:name w:val="Hyperlink"/>
    <w:semiHidden/>
    <w:rsid w:val="003559EF"/>
    <w:rPr>
      <w:rFonts w:cs="Times New Roman"/>
      <w:color w:val="0000FF"/>
      <w:u w:val="single"/>
    </w:rPr>
  </w:style>
  <w:style w:type="table" w:styleId="TableGrid">
    <w:name w:val="Table Grid"/>
    <w:basedOn w:val="TableNormal"/>
    <w:rsid w:val="000419B3"/>
    <w:rPr>
      <w:rFonts w:eastAsia="Times New Roman"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20"/>
    <w:qFormat/>
    <w:rsid w:val="00514898"/>
    <w:rPr>
      <w:rFonts w:cs="Times New Roman"/>
      <w:i/>
      <w:iCs/>
    </w:rPr>
  </w:style>
  <w:style w:type="character" w:styleId="CommentReference">
    <w:name w:val="annotation reference"/>
    <w:rsid w:val="00CE4B55"/>
    <w:rPr>
      <w:rFonts w:cs="Times New Roman"/>
      <w:sz w:val="16"/>
      <w:szCs w:val="16"/>
    </w:rPr>
  </w:style>
  <w:style w:type="paragraph" w:styleId="CommentText">
    <w:name w:val="annotation text"/>
    <w:basedOn w:val="Normal"/>
    <w:link w:val="CommentTextChar"/>
    <w:rsid w:val="00CE4B55"/>
    <w:pPr>
      <w:spacing w:line="240" w:lineRule="auto"/>
    </w:pPr>
    <w:rPr>
      <w:rFonts w:ascii="Calibri" w:eastAsia="Calibri" w:hAnsi="Calibri"/>
      <w:sz w:val="20"/>
      <w:szCs w:val="20"/>
    </w:rPr>
  </w:style>
  <w:style w:type="character" w:customStyle="1" w:styleId="CommentTextChar">
    <w:name w:val="Comment Text Char"/>
    <w:link w:val="CommentText"/>
    <w:locked/>
    <w:rsid w:val="00CE4B55"/>
    <w:rPr>
      <w:rFonts w:cs="Times New Roman"/>
      <w:sz w:val="20"/>
      <w:szCs w:val="20"/>
    </w:rPr>
  </w:style>
  <w:style w:type="paragraph" w:styleId="CommentSubject">
    <w:name w:val="annotation subject"/>
    <w:basedOn w:val="CommentText"/>
    <w:next w:val="CommentText"/>
    <w:link w:val="CommentSubjectChar"/>
    <w:semiHidden/>
    <w:rsid w:val="00CE4B55"/>
    <w:rPr>
      <w:b/>
      <w:bCs/>
    </w:rPr>
  </w:style>
  <w:style w:type="character" w:customStyle="1" w:styleId="CommentSubjectChar">
    <w:name w:val="Comment Subject Char"/>
    <w:link w:val="CommentSubject"/>
    <w:semiHidden/>
    <w:locked/>
    <w:rsid w:val="00CE4B55"/>
    <w:rPr>
      <w:rFonts w:cs="Times New Roman"/>
      <w:b/>
      <w:bCs/>
      <w:sz w:val="20"/>
      <w:szCs w:val="20"/>
    </w:rPr>
  </w:style>
  <w:style w:type="character" w:customStyle="1" w:styleId="titleauthoretc">
    <w:name w:val="titleauthoretc"/>
    <w:rsid w:val="004B3D28"/>
    <w:rPr>
      <w:rFonts w:cs="Times New Roman"/>
    </w:rPr>
  </w:style>
  <w:style w:type="character" w:styleId="Strong">
    <w:name w:val="Strong"/>
    <w:uiPriority w:val="22"/>
    <w:qFormat/>
    <w:rsid w:val="004B3D28"/>
    <w:rPr>
      <w:rFonts w:cs="Times New Roman"/>
      <w:b/>
      <w:bCs/>
    </w:rPr>
  </w:style>
  <w:style w:type="character" w:customStyle="1" w:styleId="highlight">
    <w:name w:val="highlight"/>
    <w:rsid w:val="005C2024"/>
    <w:rPr>
      <w:rFonts w:cs="Times New Roman"/>
    </w:rPr>
  </w:style>
  <w:style w:type="paragraph" w:styleId="Header">
    <w:name w:val="header"/>
    <w:basedOn w:val="Normal"/>
    <w:link w:val="HeaderChar"/>
    <w:semiHidden/>
    <w:rsid w:val="00483C85"/>
    <w:pPr>
      <w:tabs>
        <w:tab w:val="center" w:pos="4680"/>
        <w:tab w:val="right" w:pos="9360"/>
      </w:tabs>
      <w:spacing w:line="240" w:lineRule="auto"/>
    </w:pPr>
    <w:rPr>
      <w:rFonts w:ascii="Calibri" w:eastAsia="Calibri" w:hAnsi="Calibri"/>
      <w:sz w:val="20"/>
      <w:szCs w:val="20"/>
    </w:rPr>
  </w:style>
  <w:style w:type="character" w:customStyle="1" w:styleId="HeaderChar">
    <w:name w:val="Header Char"/>
    <w:link w:val="Header"/>
    <w:semiHidden/>
    <w:locked/>
    <w:rsid w:val="00483C85"/>
    <w:rPr>
      <w:rFonts w:cs="Times New Roman"/>
    </w:rPr>
  </w:style>
  <w:style w:type="paragraph" w:styleId="Footer">
    <w:name w:val="footer"/>
    <w:basedOn w:val="Normal"/>
    <w:link w:val="FooterChar"/>
    <w:uiPriority w:val="99"/>
    <w:rsid w:val="00483C85"/>
    <w:pPr>
      <w:tabs>
        <w:tab w:val="center" w:pos="4680"/>
        <w:tab w:val="right" w:pos="9360"/>
      </w:tabs>
      <w:spacing w:line="240" w:lineRule="auto"/>
    </w:pPr>
    <w:rPr>
      <w:rFonts w:ascii="Calibri" w:eastAsia="Calibri" w:hAnsi="Calibri"/>
      <w:sz w:val="20"/>
      <w:szCs w:val="20"/>
    </w:rPr>
  </w:style>
  <w:style w:type="character" w:customStyle="1" w:styleId="FooterChar">
    <w:name w:val="Footer Char"/>
    <w:link w:val="Footer"/>
    <w:uiPriority w:val="99"/>
    <w:locked/>
    <w:rsid w:val="00483C85"/>
    <w:rPr>
      <w:rFonts w:cs="Times New Roman"/>
    </w:rPr>
  </w:style>
  <w:style w:type="paragraph" w:customStyle="1" w:styleId="Default">
    <w:name w:val="Default"/>
    <w:rsid w:val="00E647BC"/>
    <w:pPr>
      <w:autoSpaceDE w:val="0"/>
      <w:autoSpaceDN w:val="0"/>
      <w:adjustRightInd w:val="0"/>
    </w:pPr>
    <w:rPr>
      <w:rFonts w:ascii="Times New Roman" w:eastAsia="Times New Roman" w:hAnsi="Times New Roman"/>
      <w:color w:val="000000"/>
      <w:sz w:val="24"/>
      <w:szCs w:val="24"/>
    </w:rPr>
  </w:style>
  <w:style w:type="character" w:customStyle="1" w:styleId="cit">
    <w:name w:val="cit"/>
    <w:rsid w:val="00B24155"/>
    <w:rPr>
      <w:rFonts w:cs="Times New Roman"/>
    </w:rPr>
  </w:style>
  <w:style w:type="character" w:customStyle="1" w:styleId="doi">
    <w:name w:val="doi"/>
    <w:rsid w:val="00B24155"/>
    <w:rPr>
      <w:rFonts w:cs="Times New Roman"/>
    </w:rPr>
  </w:style>
  <w:style w:type="character" w:customStyle="1" w:styleId="fm-citation-ids-label">
    <w:name w:val="fm-citation-ids-label"/>
    <w:rsid w:val="00B24155"/>
    <w:rPr>
      <w:rFonts w:cs="Times New Roman"/>
    </w:rPr>
  </w:style>
  <w:style w:type="paragraph" w:customStyle="1" w:styleId="Tekst">
    <w:name w:val="Tekst"/>
    <w:basedOn w:val="Normal"/>
    <w:rsid w:val="00E955E6"/>
    <w:pPr>
      <w:shd w:val="clear" w:color="auto" w:fill="auto"/>
      <w:spacing w:after="120"/>
    </w:pPr>
    <w:rPr>
      <w:rFonts w:eastAsia="Calibri"/>
    </w:rPr>
  </w:style>
  <w:style w:type="character" w:customStyle="1" w:styleId="size-xl">
    <w:name w:val="size-xl"/>
    <w:rsid w:val="00B52644"/>
    <w:rPr>
      <w:rFonts w:cs="Times New Roman"/>
    </w:rPr>
  </w:style>
  <w:style w:type="character" w:customStyle="1" w:styleId="A2">
    <w:name w:val="A2"/>
    <w:rsid w:val="00E46DF7"/>
    <w:rPr>
      <w:color w:val="000000"/>
      <w:sz w:val="18"/>
    </w:rPr>
  </w:style>
  <w:style w:type="character" w:customStyle="1" w:styleId="ui-ncbitoggler-master-text">
    <w:name w:val="ui-ncbitoggler-master-text"/>
    <w:rsid w:val="0009099E"/>
    <w:rPr>
      <w:rFonts w:cs="Times New Roman"/>
    </w:rPr>
  </w:style>
  <w:style w:type="character" w:customStyle="1" w:styleId="small-caps">
    <w:name w:val="small-caps"/>
    <w:rsid w:val="00A8214A"/>
    <w:rPr>
      <w:rFonts w:cs="Times New Roman"/>
    </w:rPr>
  </w:style>
  <w:style w:type="character" w:customStyle="1" w:styleId="fm-vol-iss-date">
    <w:name w:val="fm-vol-iss-date"/>
    <w:rsid w:val="004919CA"/>
    <w:rPr>
      <w:rFonts w:cs="Times New Roman"/>
    </w:rPr>
  </w:style>
  <w:style w:type="paragraph" w:styleId="Revision">
    <w:name w:val="Revision"/>
    <w:hidden/>
    <w:semiHidden/>
    <w:rsid w:val="00B47068"/>
    <w:rPr>
      <w:rFonts w:ascii="Times New Roman" w:eastAsia="Times New Roman" w:hAnsi="Times New Roman"/>
      <w:color w:val="000000"/>
      <w:sz w:val="22"/>
      <w:szCs w:val="22"/>
    </w:rPr>
  </w:style>
  <w:style w:type="character" w:customStyle="1" w:styleId="xdb">
    <w:name w:val="_xdb"/>
    <w:basedOn w:val="DefaultParagraphFont"/>
    <w:rsid w:val="009A3261"/>
  </w:style>
  <w:style w:type="character" w:customStyle="1" w:styleId="xbe">
    <w:name w:val="_xbe"/>
    <w:basedOn w:val="DefaultParagraphFont"/>
    <w:rsid w:val="009A3261"/>
  </w:style>
  <w:style w:type="character" w:customStyle="1" w:styleId="pull-right">
    <w:name w:val="pull-right"/>
    <w:basedOn w:val="DefaultParagraphFont"/>
    <w:rsid w:val="00F557D8"/>
  </w:style>
  <w:style w:type="character" w:customStyle="1" w:styleId="article-headermeta-info-label">
    <w:name w:val="article-header__meta-info-label"/>
    <w:basedOn w:val="DefaultParagraphFont"/>
    <w:rsid w:val="00EB5BED"/>
  </w:style>
  <w:style w:type="character" w:customStyle="1" w:styleId="article-headermeta-info-data">
    <w:name w:val="article-header__meta-info-data"/>
    <w:basedOn w:val="DefaultParagraphFont"/>
    <w:rsid w:val="00EB5BED"/>
  </w:style>
  <w:style w:type="character" w:customStyle="1" w:styleId="Heading4Char">
    <w:name w:val="Heading 4 Char"/>
    <w:link w:val="Heading4"/>
    <w:uiPriority w:val="9"/>
    <w:rsid w:val="00014E40"/>
    <w:rPr>
      <w:rFonts w:ascii="Cambria" w:eastAsia="Times New Roman" w:hAnsi="Cambria" w:cs="Times New Roman"/>
      <w:b/>
      <w:bCs/>
      <w:i/>
      <w:iCs/>
      <w:color w:val="4F81BD"/>
      <w:sz w:val="22"/>
      <w:szCs w:val="22"/>
    </w:rPr>
  </w:style>
  <w:style w:type="character" w:customStyle="1" w:styleId="hlfld-contribauthor">
    <w:name w:val="hlfld-contribauthor"/>
    <w:basedOn w:val="DefaultParagraphFont"/>
    <w:rsid w:val="00683671"/>
  </w:style>
  <w:style w:type="character" w:customStyle="1" w:styleId="nlmgiven-names">
    <w:name w:val="nlm_given-names"/>
    <w:basedOn w:val="DefaultParagraphFont"/>
    <w:rsid w:val="00683671"/>
  </w:style>
  <w:style w:type="character" w:customStyle="1" w:styleId="nlmyear">
    <w:name w:val="nlm_year"/>
    <w:basedOn w:val="DefaultParagraphFont"/>
    <w:rsid w:val="00683671"/>
  </w:style>
  <w:style w:type="character" w:customStyle="1" w:styleId="country">
    <w:name w:val="country"/>
    <w:basedOn w:val="DefaultParagraphFont"/>
    <w:rsid w:val="00683671"/>
  </w:style>
  <w:style w:type="character" w:customStyle="1" w:styleId="nlmpublisher-name">
    <w:name w:val="nlm_publisher-name"/>
    <w:basedOn w:val="DefaultParagraphFont"/>
    <w:rsid w:val="00683671"/>
  </w:style>
  <w:style w:type="character" w:customStyle="1" w:styleId="jrnl">
    <w:name w:val="jrnl"/>
    <w:basedOn w:val="DefaultParagraphFont"/>
    <w:rsid w:val="00A00CC9"/>
  </w:style>
  <w:style w:type="character" w:customStyle="1" w:styleId="pagesnum">
    <w:name w:val="pagesnum"/>
    <w:basedOn w:val="DefaultParagraphFont"/>
    <w:rsid w:val="00765F64"/>
  </w:style>
  <w:style w:type="character" w:customStyle="1" w:styleId="breakword">
    <w:name w:val="breakword"/>
    <w:basedOn w:val="DefaultParagraphFont"/>
    <w:rsid w:val="00CF5CE3"/>
  </w:style>
  <w:style w:type="character" w:customStyle="1" w:styleId="open">
    <w:name w:val="open"/>
    <w:basedOn w:val="DefaultParagraphFont"/>
    <w:rsid w:val="00CF5CE3"/>
  </w:style>
  <w:style w:type="character" w:customStyle="1" w:styleId="chemistry">
    <w:name w:val="chemistry"/>
    <w:basedOn w:val="DefaultParagraphFont"/>
    <w:rsid w:val="00CF5CE3"/>
  </w:style>
  <w:style w:type="character" w:customStyle="1" w:styleId="database">
    <w:name w:val="database"/>
    <w:basedOn w:val="DefaultParagraphFont"/>
    <w:rsid w:val="00CF5CE3"/>
  </w:style>
  <w:style w:type="character" w:styleId="FollowedHyperlink">
    <w:name w:val="FollowedHyperlink"/>
    <w:basedOn w:val="DefaultParagraphFont"/>
    <w:semiHidden/>
    <w:unhideWhenUsed/>
    <w:rsid w:val="00E85ADC"/>
    <w:rPr>
      <w:color w:val="800080" w:themeColor="followedHyperlink"/>
      <w:u w:val="single"/>
    </w:rPr>
  </w:style>
  <w:style w:type="character" w:styleId="LineNumber">
    <w:name w:val="line number"/>
    <w:basedOn w:val="DefaultParagraphFont"/>
    <w:semiHidden/>
    <w:unhideWhenUsed/>
    <w:rsid w:val="00AC1F76"/>
  </w:style>
  <w:style w:type="character" w:customStyle="1" w:styleId="field-label-suffix">
    <w:name w:val="field-label-suffix"/>
    <w:basedOn w:val="DefaultParagraphFont"/>
    <w:rsid w:val="001E41F7"/>
  </w:style>
  <w:style w:type="paragraph" w:styleId="NoSpacing">
    <w:name w:val="No Spacing"/>
    <w:link w:val="NoSpacingChar"/>
    <w:uiPriority w:val="1"/>
    <w:qFormat/>
    <w:rsid w:val="000B09B8"/>
    <w:rPr>
      <w:sz w:val="22"/>
      <w:szCs w:val="22"/>
      <w:lang w:val="bs-Latn-BA"/>
    </w:rPr>
  </w:style>
  <w:style w:type="character" w:customStyle="1" w:styleId="NoSpacingChar">
    <w:name w:val="No Spacing Char"/>
    <w:link w:val="NoSpacing"/>
    <w:uiPriority w:val="1"/>
    <w:rsid w:val="000B09B8"/>
    <w:rPr>
      <w:sz w:val="22"/>
      <w:szCs w:val="22"/>
      <w:lang w:val="bs-Latn-BA"/>
    </w:rPr>
  </w:style>
  <w:style w:type="paragraph" w:styleId="HTMLPreformatted">
    <w:name w:val="HTML Preformatted"/>
    <w:basedOn w:val="Normal"/>
    <w:link w:val="HTMLPreformattedChar"/>
    <w:uiPriority w:val="99"/>
    <w:semiHidden/>
    <w:unhideWhenUsed/>
    <w:rsid w:val="00DD3A36"/>
    <w:pPr>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D3A36"/>
    <w:rPr>
      <w:rFonts w:ascii="Courier New" w:eastAsia="Times New Roman" w:hAnsi="Courier New" w:cs="Courier New"/>
    </w:rPr>
  </w:style>
  <w:style w:type="character" w:customStyle="1" w:styleId="authorsname">
    <w:name w:val="authors__name"/>
    <w:basedOn w:val="DefaultParagraphFont"/>
    <w:rsid w:val="003766CA"/>
  </w:style>
  <w:style w:type="character" w:customStyle="1" w:styleId="gt-baf-back">
    <w:name w:val="gt-baf-back"/>
    <w:basedOn w:val="DefaultParagraphFont"/>
    <w:rsid w:val="004F4D91"/>
  </w:style>
  <w:style w:type="character" w:styleId="PlaceholderText">
    <w:name w:val="Placeholder Text"/>
    <w:basedOn w:val="DefaultParagraphFont"/>
    <w:uiPriority w:val="99"/>
    <w:semiHidden/>
    <w:rsid w:val="00CF6C31"/>
    <w:rPr>
      <w:color w:val="808080"/>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166"/>
          <w:marBottom w:val="166"/>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 w:id="69">
          <w:marLeft w:val="0"/>
          <w:marRight w:val="0"/>
          <w:marTop w:val="0"/>
          <w:marBottom w:val="166"/>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sChild>
                </w:div>
                <w:div w:id="73">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sChild>
    </w:div>
    <w:div w:id="82">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sChild>
    </w:div>
    <w:div w:id="87">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0"/>
                  <w:divBdr>
                    <w:top w:val="none" w:sz="0" w:space="0" w:color="auto"/>
                    <w:left w:val="none" w:sz="0" w:space="0" w:color="auto"/>
                    <w:bottom w:val="none" w:sz="0" w:space="0" w:color="auto"/>
                    <w:right w:val="none" w:sz="0" w:space="0" w:color="auto"/>
                  </w:divBdr>
                  <w:divsChild>
                    <w:div w:id="93">
                      <w:marLeft w:val="0"/>
                      <w:marRight w:val="0"/>
                      <w:marTop w:val="0"/>
                      <w:marBottom w:val="0"/>
                      <w:divBdr>
                        <w:top w:val="none" w:sz="0" w:space="0" w:color="auto"/>
                        <w:left w:val="none" w:sz="0" w:space="0" w:color="auto"/>
                        <w:bottom w:val="none" w:sz="0" w:space="0" w:color="auto"/>
                        <w:right w:val="none" w:sz="0" w:space="0" w:color="auto"/>
                      </w:divBdr>
                      <w:divsChild>
                        <w:div w:id="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
                  <w:marLeft w:val="0"/>
                  <w:marRight w:val="0"/>
                  <w:marTop w:val="0"/>
                  <w:marBottom w:val="0"/>
                  <w:divBdr>
                    <w:top w:val="none" w:sz="0" w:space="0" w:color="auto"/>
                    <w:left w:val="none" w:sz="0" w:space="0" w:color="auto"/>
                    <w:bottom w:val="none" w:sz="0" w:space="0" w:color="auto"/>
                    <w:right w:val="none" w:sz="0" w:space="0" w:color="auto"/>
                  </w:divBdr>
                  <w:divsChild>
                    <w:div w:id="90">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
      <w:marLeft w:val="0"/>
      <w:marRight w:val="0"/>
      <w:marTop w:val="0"/>
      <w:marBottom w:val="0"/>
      <w:divBdr>
        <w:top w:val="none" w:sz="0" w:space="0" w:color="auto"/>
        <w:left w:val="none" w:sz="0" w:space="0" w:color="auto"/>
        <w:bottom w:val="none" w:sz="0" w:space="0" w:color="auto"/>
        <w:right w:val="none" w:sz="0" w:space="0" w:color="auto"/>
      </w:divBdr>
    </w:div>
    <w:div w:id="10226143">
      <w:bodyDiv w:val="1"/>
      <w:marLeft w:val="0"/>
      <w:marRight w:val="0"/>
      <w:marTop w:val="0"/>
      <w:marBottom w:val="0"/>
      <w:divBdr>
        <w:top w:val="none" w:sz="0" w:space="0" w:color="auto"/>
        <w:left w:val="none" w:sz="0" w:space="0" w:color="auto"/>
        <w:bottom w:val="none" w:sz="0" w:space="0" w:color="auto"/>
        <w:right w:val="none" w:sz="0" w:space="0" w:color="auto"/>
      </w:divBdr>
      <w:divsChild>
        <w:div w:id="830944423">
          <w:marLeft w:val="0"/>
          <w:marRight w:val="0"/>
          <w:marTop w:val="0"/>
          <w:marBottom w:val="0"/>
          <w:divBdr>
            <w:top w:val="none" w:sz="0" w:space="0" w:color="auto"/>
            <w:left w:val="none" w:sz="0" w:space="0" w:color="auto"/>
            <w:bottom w:val="none" w:sz="0" w:space="0" w:color="auto"/>
            <w:right w:val="none" w:sz="0" w:space="0" w:color="auto"/>
          </w:divBdr>
        </w:div>
      </w:divsChild>
    </w:div>
    <w:div w:id="19013041">
      <w:bodyDiv w:val="1"/>
      <w:marLeft w:val="0"/>
      <w:marRight w:val="0"/>
      <w:marTop w:val="0"/>
      <w:marBottom w:val="0"/>
      <w:divBdr>
        <w:top w:val="none" w:sz="0" w:space="0" w:color="auto"/>
        <w:left w:val="none" w:sz="0" w:space="0" w:color="auto"/>
        <w:bottom w:val="none" w:sz="0" w:space="0" w:color="auto"/>
        <w:right w:val="none" w:sz="0" w:space="0" w:color="auto"/>
      </w:divBdr>
    </w:div>
    <w:div w:id="50229370">
      <w:bodyDiv w:val="1"/>
      <w:marLeft w:val="0"/>
      <w:marRight w:val="0"/>
      <w:marTop w:val="0"/>
      <w:marBottom w:val="0"/>
      <w:divBdr>
        <w:top w:val="none" w:sz="0" w:space="0" w:color="auto"/>
        <w:left w:val="none" w:sz="0" w:space="0" w:color="auto"/>
        <w:bottom w:val="none" w:sz="0" w:space="0" w:color="auto"/>
        <w:right w:val="none" w:sz="0" w:space="0" w:color="auto"/>
      </w:divBdr>
    </w:div>
    <w:div w:id="66803613">
      <w:bodyDiv w:val="1"/>
      <w:marLeft w:val="0"/>
      <w:marRight w:val="0"/>
      <w:marTop w:val="0"/>
      <w:marBottom w:val="0"/>
      <w:divBdr>
        <w:top w:val="none" w:sz="0" w:space="0" w:color="auto"/>
        <w:left w:val="none" w:sz="0" w:space="0" w:color="auto"/>
        <w:bottom w:val="none" w:sz="0" w:space="0" w:color="auto"/>
        <w:right w:val="none" w:sz="0" w:space="0" w:color="auto"/>
      </w:divBdr>
    </w:div>
    <w:div w:id="139004379">
      <w:bodyDiv w:val="1"/>
      <w:marLeft w:val="0"/>
      <w:marRight w:val="0"/>
      <w:marTop w:val="0"/>
      <w:marBottom w:val="0"/>
      <w:divBdr>
        <w:top w:val="none" w:sz="0" w:space="0" w:color="auto"/>
        <w:left w:val="none" w:sz="0" w:space="0" w:color="auto"/>
        <w:bottom w:val="none" w:sz="0" w:space="0" w:color="auto"/>
        <w:right w:val="none" w:sz="0" w:space="0" w:color="auto"/>
      </w:divBdr>
    </w:div>
    <w:div w:id="187917525">
      <w:bodyDiv w:val="1"/>
      <w:marLeft w:val="0"/>
      <w:marRight w:val="0"/>
      <w:marTop w:val="0"/>
      <w:marBottom w:val="0"/>
      <w:divBdr>
        <w:top w:val="none" w:sz="0" w:space="0" w:color="auto"/>
        <w:left w:val="none" w:sz="0" w:space="0" w:color="auto"/>
        <w:bottom w:val="none" w:sz="0" w:space="0" w:color="auto"/>
        <w:right w:val="none" w:sz="0" w:space="0" w:color="auto"/>
      </w:divBdr>
    </w:div>
    <w:div w:id="192545164">
      <w:bodyDiv w:val="1"/>
      <w:marLeft w:val="0"/>
      <w:marRight w:val="0"/>
      <w:marTop w:val="0"/>
      <w:marBottom w:val="0"/>
      <w:divBdr>
        <w:top w:val="none" w:sz="0" w:space="0" w:color="auto"/>
        <w:left w:val="none" w:sz="0" w:space="0" w:color="auto"/>
        <w:bottom w:val="none" w:sz="0" w:space="0" w:color="auto"/>
        <w:right w:val="none" w:sz="0" w:space="0" w:color="auto"/>
      </w:divBdr>
      <w:divsChild>
        <w:div w:id="700129302">
          <w:marLeft w:val="0"/>
          <w:marRight w:val="0"/>
          <w:marTop w:val="0"/>
          <w:marBottom w:val="0"/>
          <w:divBdr>
            <w:top w:val="none" w:sz="0" w:space="0" w:color="auto"/>
            <w:left w:val="none" w:sz="0" w:space="0" w:color="auto"/>
            <w:bottom w:val="none" w:sz="0" w:space="0" w:color="auto"/>
            <w:right w:val="none" w:sz="0" w:space="0" w:color="auto"/>
          </w:divBdr>
        </w:div>
      </w:divsChild>
    </w:div>
    <w:div w:id="222300358">
      <w:bodyDiv w:val="1"/>
      <w:marLeft w:val="0"/>
      <w:marRight w:val="0"/>
      <w:marTop w:val="0"/>
      <w:marBottom w:val="0"/>
      <w:divBdr>
        <w:top w:val="none" w:sz="0" w:space="0" w:color="auto"/>
        <w:left w:val="none" w:sz="0" w:space="0" w:color="auto"/>
        <w:bottom w:val="none" w:sz="0" w:space="0" w:color="auto"/>
        <w:right w:val="none" w:sz="0" w:space="0" w:color="auto"/>
      </w:divBdr>
    </w:div>
    <w:div w:id="235482837">
      <w:bodyDiv w:val="1"/>
      <w:marLeft w:val="0"/>
      <w:marRight w:val="0"/>
      <w:marTop w:val="0"/>
      <w:marBottom w:val="0"/>
      <w:divBdr>
        <w:top w:val="none" w:sz="0" w:space="0" w:color="auto"/>
        <w:left w:val="none" w:sz="0" w:space="0" w:color="auto"/>
        <w:bottom w:val="none" w:sz="0" w:space="0" w:color="auto"/>
        <w:right w:val="none" w:sz="0" w:space="0" w:color="auto"/>
      </w:divBdr>
    </w:div>
    <w:div w:id="263002980">
      <w:bodyDiv w:val="1"/>
      <w:marLeft w:val="0"/>
      <w:marRight w:val="0"/>
      <w:marTop w:val="0"/>
      <w:marBottom w:val="0"/>
      <w:divBdr>
        <w:top w:val="none" w:sz="0" w:space="0" w:color="auto"/>
        <w:left w:val="none" w:sz="0" w:space="0" w:color="auto"/>
        <w:bottom w:val="none" w:sz="0" w:space="0" w:color="auto"/>
        <w:right w:val="none" w:sz="0" w:space="0" w:color="auto"/>
      </w:divBdr>
      <w:divsChild>
        <w:div w:id="1143110898">
          <w:marLeft w:val="0"/>
          <w:marRight w:val="0"/>
          <w:marTop w:val="0"/>
          <w:marBottom w:val="0"/>
          <w:divBdr>
            <w:top w:val="none" w:sz="0" w:space="0" w:color="auto"/>
            <w:left w:val="none" w:sz="0" w:space="0" w:color="auto"/>
            <w:bottom w:val="none" w:sz="0" w:space="0" w:color="auto"/>
            <w:right w:val="none" w:sz="0" w:space="0" w:color="auto"/>
          </w:divBdr>
          <w:divsChild>
            <w:div w:id="154240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25498">
      <w:bodyDiv w:val="1"/>
      <w:marLeft w:val="0"/>
      <w:marRight w:val="0"/>
      <w:marTop w:val="0"/>
      <w:marBottom w:val="0"/>
      <w:divBdr>
        <w:top w:val="none" w:sz="0" w:space="0" w:color="auto"/>
        <w:left w:val="none" w:sz="0" w:space="0" w:color="auto"/>
        <w:bottom w:val="none" w:sz="0" w:space="0" w:color="auto"/>
        <w:right w:val="none" w:sz="0" w:space="0" w:color="auto"/>
      </w:divBdr>
    </w:div>
    <w:div w:id="287709455">
      <w:bodyDiv w:val="1"/>
      <w:marLeft w:val="0"/>
      <w:marRight w:val="0"/>
      <w:marTop w:val="0"/>
      <w:marBottom w:val="0"/>
      <w:divBdr>
        <w:top w:val="none" w:sz="0" w:space="0" w:color="auto"/>
        <w:left w:val="none" w:sz="0" w:space="0" w:color="auto"/>
        <w:bottom w:val="none" w:sz="0" w:space="0" w:color="auto"/>
        <w:right w:val="none" w:sz="0" w:space="0" w:color="auto"/>
      </w:divBdr>
    </w:div>
    <w:div w:id="299455726">
      <w:bodyDiv w:val="1"/>
      <w:marLeft w:val="0"/>
      <w:marRight w:val="0"/>
      <w:marTop w:val="0"/>
      <w:marBottom w:val="0"/>
      <w:divBdr>
        <w:top w:val="none" w:sz="0" w:space="0" w:color="auto"/>
        <w:left w:val="none" w:sz="0" w:space="0" w:color="auto"/>
        <w:bottom w:val="none" w:sz="0" w:space="0" w:color="auto"/>
        <w:right w:val="none" w:sz="0" w:space="0" w:color="auto"/>
      </w:divBdr>
    </w:div>
    <w:div w:id="367723847">
      <w:bodyDiv w:val="1"/>
      <w:marLeft w:val="0"/>
      <w:marRight w:val="0"/>
      <w:marTop w:val="0"/>
      <w:marBottom w:val="0"/>
      <w:divBdr>
        <w:top w:val="none" w:sz="0" w:space="0" w:color="auto"/>
        <w:left w:val="none" w:sz="0" w:space="0" w:color="auto"/>
        <w:bottom w:val="none" w:sz="0" w:space="0" w:color="auto"/>
        <w:right w:val="none" w:sz="0" w:space="0" w:color="auto"/>
      </w:divBdr>
    </w:div>
    <w:div w:id="372386889">
      <w:bodyDiv w:val="1"/>
      <w:marLeft w:val="0"/>
      <w:marRight w:val="0"/>
      <w:marTop w:val="0"/>
      <w:marBottom w:val="0"/>
      <w:divBdr>
        <w:top w:val="none" w:sz="0" w:space="0" w:color="auto"/>
        <w:left w:val="none" w:sz="0" w:space="0" w:color="auto"/>
        <w:bottom w:val="none" w:sz="0" w:space="0" w:color="auto"/>
        <w:right w:val="none" w:sz="0" w:space="0" w:color="auto"/>
      </w:divBdr>
    </w:div>
    <w:div w:id="396517876">
      <w:bodyDiv w:val="1"/>
      <w:marLeft w:val="0"/>
      <w:marRight w:val="0"/>
      <w:marTop w:val="0"/>
      <w:marBottom w:val="0"/>
      <w:divBdr>
        <w:top w:val="none" w:sz="0" w:space="0" w:color="auto"/>
        <w:left w:val="none" w:sz="0" w:space="0" w:color="auto"/>
        <w:bottom w:val="none" w:sz="0" w:space="0" w:color="auto"/>
        <w:right w:val="none" w:sz="0" w:space="0" w:color="auto"/>
      </w:divBdr>
    </w:div>
    <w:div w:id="432558652">
      <w:bodyDiv w:val="1"/>
      <w:marLeft w:val="0"/>
      <w:marRight w:val="0"/>
      <w:marTop w:val="0"/>
      <w:marBottom w:val="0"/>
      <w:divBdr>
        <w:top w:val="none" w:sz="0" w:space="0" w:color="auto"/>
        <w:left w:val="none" w:sz="0" w:space="0" w:color="auto"/>
        <w:bottom w:val="none" w:sz="0" w:space="0" w:color="auto"/>
        <w:right w:val="none" w:sz="0" w:space="0" w:color="auto"/>
      </w:divBdr>
    </w:div>
    <w:div w:id="451897639">
      <w:bodyDiv w:val="1"/>
      <w:marLeft w:val="0"/>
      <w:marRight w:val="0"/>
      <w:marTop w:val="0"/>
      <w:marBottom w:val="0"/>
      <w:divBdr>
        <w:top w:val="none" w:sz="0" w:space="0" w:color="auto"/>
        <w:left w:val="none" w:sz="0" w:space="0" w:color="auto"/>
        <w:bottom w:val="none" w:sz="0" w:space="0" w:color="auto"/>
        <w:right w:val="none" w:sz="0" w:space="0" w:color="auto"/>
      </w:divBdr>
    </w:div>
    <w:div w:id="485584985">
      <w:bodyDiv w:val="1"/>
      <w:marLeft w:val="0"/>
      <w:marRight w:val="0"/>
      <w:marTop w:val="0"/>
      <w:marBottom w:val="0"/>
      <w:divBdr>
        <w:top w:val="none" w:sz="0" w:space="0" w:color="auto"/>
        <w:left w:val="none" w:sz="0" w:space="0" w:color="auto"/>
        <w:bottom w:val="none" w:sz="0" w:space="0" w:color="auto"/>
        <w:right w:val="none" w:sz="0" w:space="0" w:color="auto"/>
      </w:divBdr>
      <w:divsChild>
        <w:div w:id="2047639225">
          <w:marLeft w:val="0"/>
          <w:marRight w:val="0"/>
          <w:marTop w:val="0"/>
          <w:marBottom w:val="0"/>
          <w:divBdr>
            <w:top w:val="none" w:sz="0" w:space="0" w:color="auto"/>
            <w:left w:val="none" w:sz="0" w:space="0" w:color="auto"/>
            <w:bottom w:val="none" w:sz="0" w:space="0" w:color="auto"/>
            <w:right w:val="none" w:sz="0" w:space="0" w:color="auto"/>
          </w:divBdr>
        </w:div>
      </w:divsChild>
    </w:div>
    <w:div w:id="489098285">
      <w:bodyDiv w:val="1"/>
      <w:marLeft w:val="0"/>
      <w:marRight w:val="0"/>
      <w:marTop w:val="0"/>
      <w:marBottom w:val="0"/>
      <w:divBdr>
        <w:top w:val="none" w:sz="0" w:space="0" w:color="auto"/>
        <w:left w:val="none" w:sz="0" w:space="0" w:color="auto"/>
        <w:bottom w:val="none" w:sz="0" w:space="0" w:color="auto"/>
        <w:right w:val="none" w:sz="0" w:space="0" w:color="auto"/>
      </w:divBdr>
    </w:div>
    <w:div w:id="533928000">
      <w:bodyDiv w:val="1"/>
      <w:marLeft w:val="0"/>
      <w:marRight w:val="0"/>
      <w:marTop w:val="0"/>
      <w:marBottom w:val="0"/>
      <w:divBdr>
        <w:top w:val="none" w:sz="0" w:space="0" w:color="auto"/>
        <w:left w:val="none" w:sz="0" w:space="0" w:color="auto"/>
        <w:bottom w:val="none" w:sz="0" w:space="0" w:color="auto"/>
        <w:right w:val="none" w:sz="0" w:space="0" w:color="auto"/>
      </w:divBdr>
    </w:div>
    <w:div w:id="561211827">
      <w:bodyDiv w:val="1"/>
      <w:marLeft w:val="0"/>
      <w:marRight w:val="0"/>
      <w:marTop w:val="0"/>
      <w:marBottom w:val="0"/>
      <w:divBdr>
        <w:top w:val="none" w:sz="0" w:space="0" w:color="auto"/>
        <w:left w:val="none" w:sz="0" w:space="0" w:color="auto"/>
        <w:bottom w:val="none" w:sz="0" w:space="0" w:color="auto"/>
        <w:right w:val="none" w:sz="0" w:space="0" w:color="auto"/>
      </w:divBdr>
      <w:divsChild>
        <w:div w:id="977341155">
          <w:marLeft w:val="0"/>
          <w:marRight w:val="0"/>
          <w:marTop w:val="0"/>
          <w:marBottom w:val="0"/>
          <w:divBdr>
            <w:top w:val="none" w:sz="0" w:space="0" w:color="auto"/>
            <w:left w:val="none" w:sz="0" w:space="0" w:color="auto"/>
            <w:bottom w:val="none" w:sz="0" w:space="0" w:color="auto"/>
            <w:right w:val="none" w:sz="0" w:space="0" w:color="auto"/>
          </w:divBdr>
          <w:divsChild>
            <w:div w:id="127821689">
              <w:marLeft w:val="50"/>
              <w:marRight w:val="0"/>
              <w:marTop w:val="0"/>
              <w:marBottom w:val="0"/>
              <w:divBdr>
                <w:top w:val="none" w:sz="0" w:space="0" w:color="auto"/>
                <w:left w:val="none" w:sz="0" w:space="0" w:color="auto"/>
                <w:bottom w:val="none" w:sz="0" w:space="0" w:color="auto"/>
                <w:right w:val="none" w:sz="0" w:space="0" w:color="auto"/>
              </w:divBdr>
              <w:divsChild>
                <w:div w:id="687636316">
                  <w:marLeft w:val="0"/>
                  <w:marRight w:val="0"/>
                  <w:marTop w:val="0"/>
                  <w:marBottom w:val="0"/>
                  <w:divBdr>
                    <w:top w:val="none" w:sz="0" w:space="0" w:color="auto"/>
                    <w:left w:val="none" w:sz="0" w:space="0" w:color="auto"/>
                    <w:bottom w:val="none" w:sz="0" w:space="0" w:color="auto"/>
                    <w:right w:val="none" w:sz="0" w:space="0" w:color="auto"/>
                  </w:divBdr>
                  <w:divsChild>
                    <w:div w:id="303201470">
                      <w:marLeft w:val="0"/>
                      <w:marRight w:val="0"/>
                      <w:marTop w:val="0"/>
                      <w:marBottom w:val="100"/>
                      <w:divBdr>
                        <w:top w:val="single" w:sz="4" w:space="0" w:color="F5F5F5"/>
                        <w:left w:val="single" w:sz="4" w:space="0" w:color="F5F5F5"/>
                        <w:bottom w:val="single" w:sz="4" w:space="0" w:color="F5F5F5"/>
                        <w:right w:val="single" w:sz="4" w:space="0" w:color="F5F5F5"/>
                      </w:divBdr>
                      <w:divsChild>
                        <w:div w:id="772673421">
                          <w:marLeft w:val="0"/>
                          <w:marRight w:val="0"/>
                          <w:marTop w:val="0"/>
                          <w:marBottom w:val="0"/>
                          <w:divBdr>
                            <w:top w:val="none" w:sz="0" w:space="0" w:color="auto"/>
                            <w:left w:val="none" w:sz="0" w:space="0" w:color="auto"/>
                            <w:bottom w:val="none" w:sz="0" w:space="0" w:color="auto"/>
                            <w:right w:val="none" w:sz="0" w:space="0" w:color="auto"/>
                          </w:divBdr>
                          <w:divsChild>
                            <w:div w:id="4528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100645">
          <w:marLeft w:val="0"/>
          <w:marRight w:val="0"/>
          <w:marTop w:val="0"/>
          <w:marBottom w:val="0"/>
          <w:divBdr>
            <w:top w:val="none" w:sz="0" w:space="0" w:color="auto"/>
            <w:left w:val="none" w:sz="0" w:space="0" w:color="auto"/>
            <w:bottom w:val="none" w:sz="0" w:space="0" w:color="auto"/>
            <w:right w:val="none" w:sz="0" w:space="0" w:color="auto"/>
          </w:divBdr>
          <w:divsChild>
            <w:div w:id="1013647646">
              <w:marLeft w:val="0"/>
              <w:marRight w:val="50"/>
              <w:marTop w:val="0"/>
              <w:marBottom w:val="0"/>
              <w:divBdr>
                <w:top w:val="none" w:sz="0" w:space="0" w:color="auto"/>
                <w:left w:val="none" w:sz="0" w:space="0" w:color="auto"/>
                <w:bottom w:val="none" w:sz="0" w:space="0" w:color="auto"/>
                <w:right w:val="none" w:sz="0" w:space="0" w:color="auto"/>
              </w:divBdr>
              <w:divsChild>
                <w:div w:id="490953335">
                  <w:marLeft w:val="0"/>
                  <w:marRight w:val="0"/>
                  <w:marTop w:val="0"/>
                  <w:marBottom w:val="100"/>
                  <w:divBdr>
                    <w:top w:val="single" w:sz="4" w:space="0" w:color="C0C0C0"/>
                    <w:left w:val="single" w:sz="4" w:space="0" w:color="D9D9D9"/>
                    <w:bottom w:val="single" w:sz="4" w:space="0" w:color="D9D9D9"/>
                    <w:right w:val="single" w:sz="4" w:space="0" w:color="D9D9D9"/>
                  </w:divBdr>
                  <w:divsChild>
                    <w:div w:id="1837376955">
                      <w:marLeft w:val="0"/>
                      <w:marRight w:val="0"/>
                      <w:marTop w:val="0"/>
                      <w:marBottom w:val="0"/>
                      <w:divBdr>
                        <w:top w:val="none" w:sz="0" w:space="0" w:color="auto"/>
                        <w:left w:val="none" w:sz="0" w:space="0" w:color="auto"/>
                        <w:bottom w:val="none" w:sz="0" w:space="0" w:color="auto"/>
                        <w:right w:val="none" w:sz="0" w:space="0" w:color="auto"/>
                      </w:divBdr>
                    </w:div>
                    <w:div w:id="198096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384001">
      <w:bodyDiv w:val="1"/>
      <w:marLeft w:val="0"/>
      <w:marRight w:val="0"/>
      <w:marTop w:val="0"/>
      <w:marBottom w:val="0"/>
      <w:divBdr>
        <w:top w:val="none" w:sz="0" w:space="0" w:color="auto"/>
        <w:left w:val="none" w:sz="0" w:space="0" w:color="auto"/>
        <w:bottom w:val="none" w:sz="0" w:space="0" w:color="auto"/>
        <w:right w:val="none" w:sz="0" w:space="0" w:color="auto"/>
      </w:divBdr>
    </w:div>
    <w:div w:id="598215497">
      <w:bodyDiv w:val="1"/>
      <w:marLeft w:val="0"/>
      <w:marRight w:val="0"/>
      <w:marTop w:val="0"/>
      <w:marBottom w:val="0"/>
      <w:divBdr>
        <w:top w:val="none" w:sz="0" w:space="0" w:color="auto"/>
        <w:left w:val="none" w:sz="0" w:space="0" w:color="auto"/>
        <w:bottom w:val="none" w:sz="0" w:space="0" w:color="auto"/>
        <w:right w:val="none" w:sz="0" w:space="0" w:color="auto"/>
      </w:divBdr>
    </w:div>
    <w:div w:id="608850492">
      <w:bodyDiv w:val="1"/>
      <w:marLeft w:val="0"/>
      <w:marRight w:val="0"/>
      <w:marTop w:val="0"/>
      <w:marBottom w:val="0"/>
      <w:divBdr>
        <w:top w:val="none" w:sz="0" w:space="0" w:color="auto"/>
        <w:left w:val="none" w:sz="0" w:space="0" w:color="auto"/>
        <w:bottom w:val="none" w:sz="0" w:space="0" w:color="auto"/>
        <w:right w:val="none" w:sz="0" w:space="0" w:color="auto"/>
      </w:divBdr>
    </w:div>
    <w:div w:id="743648937">
      <w:bodyDiv w:val="1"/>
      <w:marLeft w:val="0"/>
      <w:marRight w:val="0"/>
      <w:marTop w:val="0"/>
      <w:marBottom w:val="0"/>
      <w:divBdr>
        <w:top w:val="none" w:sz="0" w:space="0" w:color="auto"/>
        <w:left w:val="none" w:sz="0" w:space="0" w:color="auto"/>
        <w:bottom w:val="none" w:sz="0" w:space="0" w:color="auto"/>
        <w:right w:val="none" w:sz="0" w:space="0" w:color="auto"/>
      </w:divBdr>
      <w:divsChild>
        <w:div w:id="336546202">
          <w:marLeft w:val="0"/>
          <w:marRight w:val="0"/>
          <w:marTop w:val="0"/>
          <w:marBottom w:val="0"/>
          <w:divBdr>
            <w:top w:val="none" w:sz="0" w:space="0" w:color="auto"/>
            <w:left w:val="none" w:sz="0" w:space="0" w:color="auto"/>
            <w:bottom w:val="none" w:sz="0" w:space="0" w:color="auto"/>
            <w:right w:val="none" w:sz="0" w:space="0" w:color="auto"/>
          </w:divBdr>
        </w:div>
        <w:div w:id="1816870864">
          <w:marLeft w:val="0"/>
          <w:marRight w:val="0"/>
          <w:marTop w:val="0"/>
          <w:marBottom w:val="0"/>
          <w:divBdr>
            <w:top w:val="none" w:sz="0" w:space="0" w:color="auto"/>
            <w:left w:val="none" w:sz="0" w:space="0" w:color="auto"/>
            <w:bottom w:val="none" w:sz="0" w:space="0" w:color="auto"/>
            <w:right w:val="none" w:sz="0" w:space="0" w:color="auto"/>
          </w:divBdr>
          <w:divsChild>
            <w:div w:id="94111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84894">
      <w:bodyDiv w:val="1"/>
      <w:marLeft w:val="0"/>
      <w:marRight w:val="0"/>
      <w:marTop w:val="0"/>
      <w:marBottom w:val="0"/>
      <w:divBdr>
        <w:top w:val="none" w:sz="0" w:space="0" w:color="auto"/>
        <w:left w:val="none" w:sz="0" w:space="0" w:color="auto"/>
        <w:bottom w:val="none" w:sz="0" w:space="0" w:color="auto"/>
        <w:right w:val="none" w:sz="0" w:space="0" w:color="auto"/>
      </w:divBdr>
    </w:div>
    <w:div w:id="894513567">
      <w:bodyDiv w:val="1"/>
      <w:marLeft w:val="0"/>
      <w:marRight w:val="0"/>
      <w:marTop w:val="0"/>
      <w:marBottom w:val="0"/>
      <w:divBdr>
        <w:top w:val="none" w:sz="0" w:space="0" w:color="auto"/>
        <w:left w:val="none" w:sz="0" w:space="0" w:color="auto"/>
        <w:bottom w:val="none" w:sz="0" w:space="0" w:color="auto"/>
        <w:right w:val="none" w:sz="0" w:space="0" w:color="auto"/>
      </w:divBdr>
    </w:div>
    <w:div w:id="915746392">
      <w:bodyDiv w:val="1"/>
      <w:marLeft w:val="0"/>
      <w:marRight w:val="0"/>
      <w:marTop w:val="0"/>
      <w:marBottom w:val="0"/>
      <w:divBdr>
        <w:top w:val="none" w:sz="0" w:space="0" w:color="auto"/>
        <w:left w:val="none" w:sz="0" w:space="0" w:color="auto"/>
        <w:bottom w:val="none" w:sz="0" w:space="0" w:color="auto"/>
        <w:right w:val="none" w:sz="0" w:space="0" w:color="auto"/>
      </w:divBdr>
    </w:div>
    <w:div w:id="920211858">
      <w:bodyDiv w:val="1"/>
      <w:marLeft w:val="0"/>
      <w:marRight w:val="0"/>
      <w:marTop w:val="0"/>
      <w:marBottom w:val="0"/>
      <w:divBdr>
        <w:top w:val="none" w:sz="0" w:space="0" w:color="auto"/>
        <w:left w:val="none" w:sz="0" w:space="0" w:color="auto"/>
        <w:bottom w:val="none" w:sz="0" w:space="0" w:color="auto"/>
        <w:right w:val="none" w:sz="0" w:space="0" w:color="auto"/>
      </w:divBdr>
    </w:div>
    <w:div w:id="932318632">
      <w:bodyDiv w:val="1"/>
      <w:marLeft w:val="0"/>
      <w:marRight w:val="0"/>
      <w:marTop w:val="0"/>
      <w:marBottom w:val="0"/>
      <w:divBdr>
        <w:top w:val="none" w:sz="0" w:space="0" w:color="auto"/>
        <w:left w:val="none" w:sz="0" w:space="0" w:color="auto"/>
        <w:bottom w:val="none" w:sz="0" w:space="0" w:color="auto"/>
        <w:right w:val="none" w:sz="0" w:space="0" w:color="auto"/>
      </w:divBdr>
    </w:div>
    <w:div w:id="947546731">
      <w:bodyDiv w:val="1"/>
      <w:marLeft w:val="0"/>
      <w:marRight w:val="0"/>
      <w:marTop w:val="0"/>
      <w:marBottom w:val="0"/>
      <w:divBdr>
        <w:top w:val="none" w:sz="0" w:space="0" w:color="auto"/>
        <w:left w:val="none" w:sz="0" w:space="0" w:color="auto"/>
        <w:bottom w:val="none" w:sz="0" w:space="0" w:color="auto"/>
        <w:right w:val="none" w:sz="0" w:space="0" w:color="auto"/>
      </w:divBdr>
    </w:div>
    <w:div w:id="985161572">
      <w:bodyDiv w:val="1"/>
      <w:marLeft w:val="0"/>
      <w:marRight w:val="0"/>
      <w:marTop w:val="0"/>
      <w:marBottom w:val="0"/>
      <w:divBdr>
        <w:top w:val="none" w:sz="0" w:space="0" w:color="auto"/>
        <w:left w:val="none" w:sz="0" w:space="0" w:color="auto"/>
        <w:bottom w:val="none" w:sz="0" w:space="0" w:color="auto"/>
        <w:right w:val="none" w:sz="0" w:space="0" w:color="auto"/>
      </w:divBdr>
    </w:div>
    <w:div w:id="1094083814">
      <w:bodyDiv w:val="1"/>
      <w:marLeft w:val="0"/>
      <w:marRight w:val="0"/>
      <w:marTop w:val="0"/>
      <w:marBottom w:val="0"/>
      <w:divBdr>
        <w:top w:val="none" w:sz="0" w:space="0" w:color="auto"/>
        <w:left w:val="none" w:sz="0" w:space="0" w:color="auto"/>
        <w:bottom w:val="none" w:sz="0" w:space="0" w:color="auto"/>
        <w:right w:val="none" w:sz="0" w:space="0" w:color="auto"/>
      </w:divBdr>
    </w:div>
    <w:div w:id="1136794671">
      <w:bodyDiv w:val="1"/>
      <w:marLeft w:val="0"/>
      <w:marRight w:val="0"/>
      <w:marTop w:val="0"/>
      <w:marBottom w:val="0"/>
      <w:divBdr>
        <w:top w:val="none" w:sz="0" w:space="0" w:color="auto"/>
        <w:left w:val="none" w:sz="0" w:space="0" w:color="auto"/>
        <w:bottom w:val="none" w:sz="0" w:space="0" w:color="auto"/>
        <w:right w:val="none" w:sz="0" w:space="0" w:color="auto"/>
      </w:divBdr>
    </w:div>
    <w:div w:id="1181777725">
      <w:bodyDiv w:val="1"/>
      <w:marLeft w:val="0"/>
      <w:marRight w:val="0"/>
      <w:marTop w:val="0"/>
      <w:marBottom w:val="0"/>
      <w:divBdr>
        <w:top w:val="none" w:sz="0" w:space="0" w:color="auto"/>
        <w:left w:val="none" w:sz="0" w:space="0" w:color="auto"/>
        <w:bottom w:val="none" w:sz="0" w:space="0" w:color="auto"/>
        <w:right w:val="none" w:sz="0" w:space="0" w:color="auto"/>
      </w:divBdr>
    </w:div>
    <w:div w:id="1204177647">
      <w:bodyDiv w:val="1"/>
      <w:marLeft w:val="0"/>
      <w:marRight w:val="0"/>
      <w:marTop w:val="0"/>
      <w:marBottom w:val="0"/>
      <w:divBdr>
        <w:top w:val="none" w:sz="0" w:space="0" w:color="auto"/>
        <w:left w:val="none" w:sz="0" w:space="0" w:color="auto"/>
        <w:bottom w:val="none" w:sz="0" w:space="0" w:color="auto"/>
        <w:right w:val="none" w:sz="0" w:space="0" w:color="auto"/>
      </w:divBdr>
    </w:div>
    <w:div w:id="1294292080">
      <w:bodyDiv w:val="1"/>
      <w:marLeft w:val="0"/>
      <w:marRight w:val="0"/>
      <w:marTop w:val="0"/>
      <w:marBottom w:val="0"/>
      <w:divBdr>
        <w:top w:val="none" w:sz="0" w:space="0" w:color="auto"/>
        <w:left w:val="none" w:sz="0" w:space="0" w:color="auto"/>
        <w:bottom w:val="none" w:sz="0" w:space="0" w:color="auto"/>
        <w:right w:val="none" w:sz="0" w:space="0" w:color="auto"/>
      </w:divBdr>
    </w:div>
    <w:div w:id="1311785097">
      <w:bodyDiv w:val="1"/>
      <w:marLeft w:val="0"/>
      <w:marRight w:val="0"/>
      <w:marTop w:val="0"/>
      <w:marBottom w:val="0"/>
      <w:divBdr>
        <w:top w:val="none" w:sz="0" w:space="0" w:color="auto"/>
        <w:left w:val="none" w:sz="0" w:space="0" w:color="auto"/>
        <w:bottom w:val="none" w:sz="0" w:space="0" w:color="auto"/>
        <w:right w:val="none" w:sz="0" w:space="0" w:color="auto"/>
      </w:divBdr>
    </w:div>
    <w:div w:id="1342928859">
      <w:bodyDiv w:val="1"/>
      <w:marLeft w:val="0"/>
      <w:marRight w:val="0"/>
      <w:marTop w:val="0"/>
      <w:marBottom w:val="0"/>
      <w:divBdr>
        <w:top w:val="none" w:sz="0" w:space="0" w:color="auto"/>
        <w:left w:val="none" w:sz="0" w:space="0" w:color="auto"/>
        <w:bottom w:val="none" w:sz="0" w:space="0" w:color="auto"/>
        <w:right w:val="none" w:sz="0" w:space="0" w:color="auto"/>
      </w:divBdr>
    </w:div>
    <w:div w:id="1362362939">
      <w:bodyDiv w:val="1"/>
      <w:marLeft w:val="0"/>
      <w:marRight w:val="0"/>
      <w:marTop w:val="0"/>
      <w:marBottom w:val="0"/>
      <w:divBdr>
        <w:top w:val="none" w:sz="0" w:space="0" w:color="auto"/>
        <w:left w:val="none" w:sz="0" w:space="0" w:color="auto"/>
        <w:bottom w:val="none" w:sz="0" w:space="0" w:color="auto"/>
        <w:right w:val="none" w:sz="0" w:space="0" w:color="auto"/>
      </w:divBdr>
    </w:div>
    <w:div w:id="1365447139">
      <w:bodyDiv w:val="1"/>
      <w:marLeft w:val="0"/>
      <w:marRight w:val="0"/>
      <w:marTop w:val="0"/>
      <w:marBottom w:val="0"/>
      <w:divBdr>
        <w:top w:val="none" w:sz="0" w:space="0" w:color="auto"/>
        <w:left w:val="none" w:sz="0" w:space="0" w:color="auto"/>
        <w:bottom w:val="none" w:sz="0" w:space="0" w:color="auto"/>
        <w:right w:val="none" w:sz="0" w:space="0" w:color="auto"/>
      </w:divBdr>
    </w:div>
    <w:div w:id="1503885650">
      <w:bodyDiv w:val="1"/>
      <w:marLeft w:val="0"/>
      <w:marRight w:val="0"/>
      <w:marTop w:val="0"/>
      <w:marBottom w:val="0"/>
      <w:divBdr>
        <w:top w:val="none" w:sz="0" w:space="0" w:color="auto"/>
        <w:left w:val="none" w:sz="0" w:space="0" w:color="auto"/>
        <w:bottom w:val="none" w:sz="0" w:space="0" w:color="auto"/>
        <w:right w:val="none" w:sz="0" w:space="0" w:color="auto"/>
      </w:divBdr>
      <w:divsChild>
        <w:div w:id="426967890">
          <w:marLeft w:val="0"/>
          <w:marRight w:val="0"/>
          <w:marTop w:val="0"/>
          <w:marBottom w:val="480"/>
          <w:divBdr>
            <w:top w:val="none" w:sz="0" w:space="0" w:color="auto"/>
            <w:left w:val="none" w:sz="0" w:space="0" w:color="auto"/>
            <w:bottom w:val="none" w:sz="0" w:space="0" w:color="auto"/>
            <w:right w:val="none" w:sz="0" w:space="0" w:color="auto"/>
          </w:divBdr>
        </w:div>
        <w:div w:id="2093694542">
          <w:marLeft w:val="0"/>
          <w:marRight w:val="0"/>
          <w:marTop w:val="0"/>
          <w:marBottom w:val="0"/>
          <w:divBdr>
            <w:top w:val="none" w:sz="0" w:space="0" w:color="auto"/>
            <w:left w:val="none" w:sz="0" w:space="0" w:color="auto"/>
            <w:bottom w:val="none" w:sz="0" w:space="0" w:color="auto"/>
            <w:right w:val="none" w:sz="0" w:space="0" w:color="auto"/>
          </w:divBdr>
          <w:divsChild>
            <w:div w:id="14733276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53535902">
      <w:bodyDiv w:val="1"/>
      <w:marLeft w:val="0"/>
      <w:marRight w:val="0"/>
      <w:marTop w:val="0"/>
      <w:marBottom w:val="0"/>
      <w:divBdr>
        <w:top w:val="none" w:sz="0" w:space="0" w:color="auto"/>
        <w:left w:val="none" w:sz="0" w:space="0" w:color="auto"/>
        <w:bottom w:val="none" w:sz="0" w:space="0" w:color="auto"/>
        <w:right w:val="none" w:sz="0" w:space="0" w:color="auto"/>
      </w:divBdr>
    </w:div>
    <w:div w:id="1609004313">
      <w:bodyDiv w:val="1"/>
      <w:marLeft w:val="0"/>
      <w:marRight w:val="0"/>
      <w:marTop w:val="0"/>
      <w:marBottom w:val="0"/>
      <w:divBdr>
        <w:top w:val="none" w:sz="0" w:space="0" w:color="auto"/>
        <w:left w:val="none" w:sz="0" w:space="0" w:color="auto"/>
        <w:bottom w:val="none" w:sz="0" w:space="0" w:color="auto"/>
        <w:right w:val="none" w:sz="0" w:space="0" w:color="auto"/>
      </w:divBdr>
    </w:div>
    <w:div w:id="1623612674">
      <w:bodyDiv w:val="1"/>
      <w:marLeft w:val="0"/>
      <w:marRight w:val="0"/>
      <w:marTop w:val="0"/>
      <w:marBottom w:val="0"/>
      <w:divBdr>
        <w:top w:val="none" w:sz="0" w:space="0" w:color="auto"/>
        <w:left w:val="none" w:sz="0" w:space="0" w:color="auto"/>
        <w:bottom w:val="none" w:sz="0" w:space="0" w:color="auto"/>
        <w:right w:val="none" w:sz="0" w:space="0" w:color="auto"/>
      </w:divBdr>
    </w:div>
    <w:div w:id="1623920347">
      <w:bodyDiv w:val="1"/>
      <w:marLeft w:val="0"/>
      <w:marRight w:val="0"/>
      <w:marTop w:val="0"/>
      <w:marBottom w:val="0"/>
      <w:divBdr>
        <w:top w:val="none" w:sz="0" w:space="0" w:color="auto"/>
        <w:left w:val="none" w:sz="0" w:space="0" w:color="auto"/>
        <w:bottom w:val="none" w:sz="0" w:space="0" w:color="auto"/>
        <w:right w:val="none" w:sz="0" w:space="0" w:color="auto"/>
      </w:divBdr>
      <w:divsChild>
        <w:div w:id="1914045266">
          <w:marLeft w:val="0"/>
          <w:marRight w:val="0"/>
          <w:marTop w:val="0"/>
          <w:marBottom w:val="0"/>
          <w:divBdr>
            <w:top w:val="none" w:sz="0" w:space="0" w:color="auto"/>
            <w:left w:val="none" w:sz="0" w:space="0" w:color="auto"/>
            <w:bottom w:val="none" w:sz="0" w:space="0" w:color="auto"/>
            <w:right w:val="none" w:sz="0" w:space="0" w:color="auto"/>
          </w:divBdr>
        </w:div>
      </w:divsChild>
    </w:div>
    <w:div w:id="1650860121">
      <w:bodyDiv w:val="1"/>
      <w:marLeft w:val="0"/>
      <w:marRight w:val="0"/>
      <w:marTop w:val="0"/>
      <w:marBottom w:val="0"/>
      <w:divBdr>
        <w:top w:val="none" w:sz="0" w:space="0" w:color="auto"/>
        <w:left w:val="none" w:sz="0" w:space="0" w:color="auto"/>
        <w:bottom w:val="none" w:sz="0" w:space="0" w:color="auto"/>
        <w:right w:val="none" w:sz="0" w:space="0" w:color="auto"/>
      </w:divBdr>
    </w:div>
    <w:div w:id="1687369924">
      <w:bodyDiv w:val="1"/>
      <w:marLeft w:val="0"/>
      <w:marRight w:val="0"/>
      <w:marTop w:val="0"/>
      <w:marBottom w:val="0"/>
      <w:divBdr>
        <w:top w:val="none" w:sz="0" w:space="0" w:color="auto"/>
        <w:left w:val="none" w:sz="0" w:space="0" w:color="auto"/>
        <w:bottom w:val="none" w:sz="0" w:space="0" w:color="auto"/>
        <w:right w:val="none" w:sz="0" w:space="0" w:color="auto"/>
      </w:divBdr>
    </w:div>
    <w:div w:id="1696466717">
      <w:bodyDiv w:val="1"/>
      <w:marLeft w:val="0"/>
      <w:marRight w:val="0"/>
      <w:marTop w:val="0"/>
      <w:marBottom w:val="0"/>
      <w:divBdr>
        <w:top w:val="none" w:sz="0" w:space="0" w:color="auto"/>
        <w:left w:val="none" w:sz="0" w:space="0" w:color="auto"/>
        <w:bottom w:val="none" w:sz="0" w:space="0" w:color="auto"/>
        <w:right w:val="none" w:sz="0" w:space="0" w:color="auto"/>
      </w:divBdr>
    </w:div>
    <w:div w:id="1728334848">
      <w:bodyDiv w:val="1"/>
      <w:marLeft w:val="0"/>
      <w:marRight w:val="0"/>
      <w:marTop w:val="0"/>
      <w:marBottom w:val="0"/>
      <w:divBdr>
        <w:top w:val="none" w:sz="0" w:space="0" w:color="auto"/>
        <w:left w:val="none" w:sz="0" w:space="0" w:color="auto"/>
        <w:bottom w:val="none" w:sz="0" w:space="0" w:color="auto"/>
        <w:right w:val="none" w:sz="0" w:space="0" w:color="auto"/>
      </w:divBdr>
    </w:div>
    <w:div w:id="1855538703">
      <w:bodyDiv w:val="1"/>
      <w:marLeft w:val="0"/>
      <w:marRight w:val="0"/>
      <w:marTop w:val="0"/>
      <w:marBottom w:val="0"/>
      <w:divBdr>
        <w:top w:val="none" w:sz="0" w:space="0" w:color="auto"/>
        <w:left w:val="none" w:sz="0" w:space="0" w:color="auto"/>
        <w:bottom w:val="none" w:sz="0" w:space="0" w:color="auto"/>
        <w:right w:val="none" w:sz="0" w:space="0" w:color="auto"/>
      </w:divBdr>
    </w:div>
    <w:div w:id="1861624331">
      <w:bodyDiv w:val="1"/>
      <w:marLeft w:val="0"/>
      <w:marRight w:val="0"/>
      <w:marTop w:val="0"/>
      <w:marBottom w:val="0"/>
      <w:divBdr>
        <w:top w:val="none" w:sz="0" w:space="0" w:color="auto"/>
        <w:left w:val="none" w:sz="0" w:space="0" w:color="auto"/>
        <w:bottom w:val="none" w:sz="0" w:space="0" w:color="auto"/>
        <w:right w:val="none" w:sz="0" w:space="0" w:color="auto"/>
      </w:divBdr>
    </w:div>
    <w:div w:id="1891958965">
      <w:bodyDiv w:val="1"/>
      <w:marLeft w:val="0"/>
      <w:marRight w:val="0"/>
      <w:marTop w:val="0"/>
      <w:marBottom w:val="0"/>
      <w:divBdr>
        <w:top w:val="none" w:sz="0" w:space="0" w:color="auto"/>
        <w:left w:val="none" w:sz="0" w:space="0" w:color="auto"/>
        <w:bottom w:val="none" w:sz="0" w:space="0" w:color="auto"/>
        <w:right w:val="none" w:sz="0" w:space="0" w:color="auto"/>
      </w:divBdr>
    </w:div>
    <w:div w:id="1894542746">
      <w:bodyDiv w:val="1"/>
      <w:marLeft w:val="0"/>
      <w:marRight w:val="0"/>
      <w:marTop w:val="0"/>
      <w:marBottom w:val="0"/>
      <w:divBdr>
        <w:top w:val="none" w:sz="0" w:space="0" w:color="auto"/>
        <w:left w:val="none" w:sz="0" w:space="0" w:color="auto"/>
        <w:bottom w:val="none" w:sz="0" w:space="0" w:color="auto"/>
        <w:right w:val="none" w:sz="0" w:space="0" w:color="auto"/>
      </w:divBdr>
    </w:div>
    <w:div w:id="1911427918">
      <w:bodyDiv w:val="1"/>
      <w:marLeft w:val="0"/>
      <w:marRight w:val="0"/>
      <w:marTop w:val="0"/>
      <w:marBottom w:val="0"/>
      <w:divBdr>
        <w:top w:val="none" w:sz="0" w:space="0" w:color="auto"/>
        <w:left w:val="none" w:sz="0" w:space="0" w:color="auto"/>
        <w:bottom w:val="none" w:sz="0" w:space="0" w:color="auto"/>
        <w:right w:val="none" w:sz="0" w:space="0" w:color="auto"/>
      </w:divBdr>
    </w:div>
    <w:div w:id="1956135062">
      <w:bodyDiv w:val="1"/>
      <w:marLeft w:val="0"/>
      <w:marRight w:val="0"/>
      <w:marTop w:val="0"/>
      <w:marBottom w:val="0"/>
      <w:divBdr>
        <w:top w:val="none" w:sz="0" w:space="0" w:color="auto"/>
        <w:left w:val="none" w:sz="0" w:space="0" w:color="auto"/>
        <w:bottom w:val="none" w:sz="0" w:space="0" w:color="auto"/>
        <w:right w:val="none" w:sz="0" w:space="0" w:color="auto"/>
      </w:divBdr>
    </w:div>
    <w:div w:id="2010789673">
      <w:bodyDiv w:val="1"/>
      <w:marLeft w:val="0"/>
      <w:marRight w:val="0"/>
      <w:marTop w:val="0"/>
      <w:marBottom w:val="0"/>
      <w:divBdr>
        <w:top w:val="none" w:sz="0" w:space="0" w:color="auto"/>
        <w:left w:val="none" w:sz="0" w:space="0" w:color="auto"/>
        <w:bottom w:val="none" w:sz="0" w:space="0" w:color="auto"/>
        <w:right w:val="none" w:sz="0" w:space="0" w:color="auto"/>
      </w:divBdr>
    </w:div>
    <w:div w:id="2030714289">
      <w:bodyDiv w:val="1"/>
      <w:marLeft w:val="0"/>
      <w:marRight w:val="0"/>
      <w:marTop w:val="0"/>
      <w:marBottom w:val="0"/>
      <w:divBdr>
        <w:top w:val="none" w:sz="0" w:space="0" w:color="auto"/>
        <w:left w:val="none" w:sz="0" w:space="0" w:color="auto"/>
        <w:bottom w:val="none" w:sz="0" w:space="0" w:color="auto"/>
        <w:right w:val="none" w:sz="0" w:space="0" w:color="auto"/>
      </w:divBdr>
    </w:div>
    <w:div w:id="2031375662">
      <w:bodyDiv w:val="1"/>
      <w:marLeft w:val="0"/>
      <w:marRight w:val="0"/>
      <w:marTop w:val="0"/>
      <w:marBottom w:val="0"/>
      <w:divBdr>
        <w:top w:val="none" w:sz="0" w:space="0" w:color="auto"/>
        <w:left w:val="none" w:sz="0" w:space="0" w:color="auto"/>
        <w:bottom w:val="none" w:sz="0" w:space="0" w:color="auto"/>
        <w:right w:val="none" w:sz="0" w:space="0" w:color="auto"/>
      </w:divBdr>
    </w:div>
    <w:div w:id="2044744132">
      <w:bodyDiv w:val="1"/>
      <w:marLeft w:val="0"/>
      <w:marRight w:val="0"/>
      <w:marTop w:val="0"/>
      <w:marBottom w:val="0"/>
      <w:divBdr>
        <w:top w:val="none" w:sz="0" w:space="0" w:color="auto"/>
        <w:left w:val="none" w:sz="0" w:space="0" w:color="auto"/>
        <w:bottom w:val="none" w:sz="0" w:space="0" w:color="auto"/>
        <w:right w:val="none" w:sz="0" w:space="0" w:color="auto"/>
      </w:divBdr>
    </w:div>
    <w:div w:id="2124574879">
      <w:bodyDiv w:val="1"/>
      <w:marLeft w:val="0"/>
      <w:marRight w:val="0"/>
      <w:marTop w:val="0"/>
      <w:marBottom w:val="0"/>
      <w:divBdr>
        <w:top w:val="none" w:sz="0" w:space="0" w:color="auto"/>
        <w:left w:val="none" w:sz="0" w:space="0" w:color="auto"/>
        <w:bottom w:val="none" w:sz="0" w:space="0" w:color="auto"/>
        <w:right w:val="none" w:sz="0" w:space="0" w:color="auto"/>
      </w:divBdr>
    </w:div>
    <w:div w:id="2145659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hyperlink" Target="https://doi.org/10.1016/j.tiv.2006.09.019" TargetMode="External"/><Relationship Id="rId26" Type="http://schemas.openxmlformats.org/officeDocument/2006/relationships/hyperlink" Target="https://doi.org/10.1016/j.toxlet.2012.03.001" TargetMode="External"/><Relationship Id="rId39" Type="http://schemas.openxmlformats.org/officeDocument/2006/relationships/hyperlink" Target="https://doi.org/10.3390/molecules190812789" TargetMode="External"/><Relationship Id="rId21" Type="http://schemas.openxmlformats.org/officeDocument/2006/relationships/hyperlink" Target="https://doi.org/10.1016/j.aquatox.2011.08.007" TargetMode="External"/><Relationship Id="rId34" Type="http://schemas.openxmlformats.org/officeDocument/2006/relationships/hyperlink" Target="https://doi.org/10.1016/j.tiv.2009.11.022" TargetMode="External"/><Relationship Id="rId42" Type="http://schemas.openxmlformats.org/officeDocument/2006/relationships/hyperlink" Target="http://dx.doi.org/10.4067/S0716-97602013000100005" TargetMode="External"/><Relationship Id="rId47" Type="http://schemas.openxmlformats.org/officeDocument/2006/relationships/hyperlink" Target="http://dx.doi.org/10.1136/fn.81.2.F130" TargetMode="External"/><Relationship Id="rId50" Type="http://schemas.openxmlformats.org/officeDocument/2006/relationships/footer" Target="footer1.xml"/><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yperlink" Target="https://archive.epa.gov/pesticides/reregistration/web/html/status.html" TargetMode="External"/><Relationship Id="rId25" Type="http://schemas.openxmlformats.org/officeDocument/2006/relationships/hyperlink" Target="https://doi.org/10.2478/v10102-011-0023-9" TargetMode="External"/><Relationship Id="rId33" Type="http://schemas.openxmlformats.org/officeDocument/2006/relationships/hyperlink" Target="http://www.jbc.org/content/249/22/7130.full.pdf" TargetMode="External"/><Relationship Id="rId38" Type="http://schemas.openxmlformats.org/officeDocument/2006/relationships/hyperlink" Target="https://doi.org/10.1007/s002040000167" TargetMode="External"/><Relationship Id="rId46" Type="http://schemas.openxmlformats.org/officeDocument/2006/relationships/hyperlink" Target="http://base.dnsgb.com.ua/files/book/Agriculture/Pesticides/The-Triazine-Herbicides.pdf" TargetMode="External"/><Relationship Id="rId2" Type="http://schemas.openxmlformats.org/officeDocument/2006/relationships/numbering" Target="numbering.xml"/><Relationship Id="rId16" Type="http://schemas.openxmlformats.org/officeDocument/2006/relationships/hyperlink" Target="http://www.pesticideinfo.org/Search_Chemicals.jsp" TargetMode="External"/><Relationship Id="rId20" Type="http://schemas.openxmlformats.org/officeDocument/2006/relationships/hyperlink" Target="https://doi.org/10.1007/s11010-011-0780-y" TargetMode="External"/><Relationship Id="rId29" Type="http://schemas.openxmlformats.org/officeDocument/2006/relationships/hyperlink" Target="https://pubchem.ncbi.nlm.nih.gov/compound/Terbuthylazine" TargetMode="External"/><Relationship Id="rId41" Type="http://schemas.openxmlformats.org/officeDocument/2006/relationships/hyperlink" Target="https://doi.org/10.1016/j.tiv.2007.06.002"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hyperlink" Target="https://doi.org/10.1016/j.scitotenv.2016.05.113" TargetMode="External"/><Relationship Id="rId32" Type="http://schemas.openxmlformats.org/officeDocument/2006/relationships/hyperlink" Target="https://doi.org/10.1016/0003-2697(71)90375-7)" TargetMode="External"/><Relationship Id="rId37" Type="http://schemas.openxmlformats.org/officeDocument/2006/relationships/hyperlink" Target="https://doi.org/10.1006/abbi.1995.1228" TargetMode="External"/><Relationship Id="rId40" Type="http://schemas.openxmlformats.org/officeDocument/2006/relationships/hyperlink" Target="https://doi.org/10.1111/j.1582-4934.2007.00008.x" TargetMode="External"/><Relationship Id="rId45" Type="http://schemas.openxmlformats.org/officeDocument/2006/relationships/hyperlink" Target="https://doi.org/10.1016/0047-6374(90)90078-T" TargetMode="External"/><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hyperlink" Target="http://dx.doi.org/10.1155/2014/621304" TargetMode="External"/><Relationship Id="rId28" Type="http://schemas.openxmlformats.org/officeDocument/2006/relationships/hyperlink" Target="https://doi.org/10.1186/s40490-016-0072-0" TargetMode="External"/><Relationship Id="rId36" Type="http://schemas.openxmlformats.org/officeDocument/2006/relationships/hyperlink" Target="https://doi.org/10.1179/135100003225002817" TargetMode="External"/><Relationship Id="rId49" Type="http://schemas.openxmlformats.org/officeDocument/2006/relationships/header" Target="header2.xml"/><Relationship Id="rId10" Type="http://schemas.openxmlformats.org/officeDocument/2006/relationships/image" Target="media/image1.tiff"/><Relationship Id="rId19" Type="http://schemas.openxmlformats.org/officeDocument/2006/relationships/hyperlink" Target="https://dx.doi.org/10.4103%2F0971-6580.75871" TargetMode="External"/><Relationship Id="rId31" Type="http://schemas.openxmlformats.org/officeDocument/2006/relationships/hyperlink" Target="https://doi.org/10.1016/0003-2697(71)90370-8)" TargetMode="External"/><Relationship Id="rId44" Type="http://schemas.openxmlformats.org/officeDocument/2006/relationships/hyperlink" Target="https://doi.org/10.1016/0047-6374(90)90078-T)"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tiff"/><Relationship Id="rId22" Type="http://schemas.openxmlformats.org/officeDocument/2006/relationships/hyperlink" Target="https://doi.org/10.2903/j.efsa.2011.1969" TargetMode="External"/><Relationship Id="rId27" Type="http://schemas.openxmlformats.org/officeDocument/2006/relationships/hyperlink" Target="https://doi.org/10.1007/s11356-018-2046-7" TargetMode="External"/><Relationship Id="rId30" Type="http://schemas.openxmlformats.org/officeDocument/2006/relationships/hyperlink" Target="http://www.jbc.org/content/112/1/51.full.pdf" TargetMode="External"/><Relationship Id="rId35" Type="http://schemas.openxmlformats.org/officeDocument/2006/relationships/hyperlink" Target="https://doi.org/10.1191%2F0960327104ht408oa" TargetMode="External"/><Relationship Id="rId43" Type="http://schemas.openxmlformats.org/officeDocument/2006/relationships/hyperlink" Target="http://www.jbc.org/content/257/10/5751.full.pdf" TargetMode="External"/><Relationship Id="rId48" Type="http://schemas.openxmlformats.org/officeDocument/2006/relationships/header" Target="header1.xml"/><Relationship Id="rId56" Type="http://schemas.openxmlformats.org/officeDocument/2006/relationships/theme" Target="theme/theme1.xml"/><Relationship Id="rId8" Type="http://schemas.openxmlformats.org/officeDocument/2006/relationships/hyperlink" Target="mailto:biljana.davidovic-plavsic@pmf.unibl.org" TargetMode="External"/><Relationship Id="rId51" Type="http://schemas.openxmlformats.org/officeDocument/2006/relationships/footer" Target="footer2.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ETRO">
    <w:altName w:val="Arial Unicode MS"/>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015FC"/>
    <w:rsid w:val="00983795"/>
    <w:rsid w:val="00E015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15FC"/>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E09B8-9E27-44DC-992E-A35BD47D1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4941</Words>
  <Characters>28164</Characters>
  <Application>Microsoft Office Word</Application>
  <DocSecurity>0</DocSecurity>
  <Lines>234</Lines>
  <Paragraphs>66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The effect of terbuthylazine on human erythrocyte antioxidative enzymes in vitro</vt:lpstr>
      <vt:lpstr>The effect of terbuthylazine on human erythrocyte antioxidative enzymes in vitro</vt:lpstr>
    </vt:vector>
  </TitlesOfParts>
  <Company/>
  <LinksUpToDate>false</LinksUpToDate>
  <CharactersWithSpaces>33039</CharactersWithSpaces>
  <SharedDoc>false</SharedDoc>
  <HLinks>
    <vt:vector size="198" baseType="variant">
      <vt:variant>
        <vt:i4>3604594</vt:i4>
      </vt:variant>
      <vt:variant>
        <vt:i4>102</vt:i4>
      </vt:variant>
      <vt:variant>
        <vt:i4>0</vt:i4>
      </vt:variant>
      <vt:variant>
        <vt:i4>5</vt:i4>
      </vt:variant>
      <vt:variant>
        <vt:lpwstr>http://dx.doi.org/10.1136/fn.81.2.F130</vt:lpwstr>
      </vt:variant>
      <vt:variant>
        <vt:lpwstr/>
      </vt:variant>
      <vt:variant>
        <vt:i4>3080225</vt:i4>
      </vt:variant>
      <vt:variant>
        <vt:i4>99</vt:i4>
      </vt:variant>
      <vt:variant>
        <vt:i4>0</vt:i4>
      </vt:variant>
      <vt:variant>
        <vt:i4>5</vt:i4>
      </vt:variant>
      <vt:variant>
        <vt:lpwstr>http://base.dnsgb.com.ua/files/book/Agriculture/Pesticides/The-Triazine-Herbicides.pdf</vt:lpwstr>
      </vt:variant>
      <vt:variant>
        <vt:lpwstr/>
      </vt:variant>
      <vt:variant>
        <vt:i4>4784200</vt:i4>
      </vt:variant>
      <vt:variant>
        <vt:i4>95</vt:i4>
      </vt:variant>
      <vt:variant>
        <vt:i4>0</vt:i4>
      </vt:variant>
      <vt:variant>
        <vt:i4>5</vt:i4>
      </vt:variant>
      <vt:variant>
        <vt:lpwstr>https://doi.org/10.1016/0047-6374(90)90078-T</vt:lpwstr>
      </vt:variant>
      <vt:variant>
        <vt:lpwstr/>
      </vt:variant>
      <vt:variant>
        <vt:i4>4784200</vt:i4>
      </vt:variant>
      <vt:variant>
        <vt:i4>93</vt:i4>
      </vt:variant>
      <vt:variant>
        <vt:i4>0</vt:i4>
      </vt:variant>
      <vt:variant>
        <vt:i4>5</vt:i4>
      </vt:variant>
      <vt:variant>
        <vt:lpwstr>https://doi.org/10.1016/0047-6374(90)90078-T)</vt:lpwstr>
      </vt:variant>
      <vt:variant>
        <vt:lpwstr/>
      </vt:variant>
      <vt:variant>
        <vt:i4>7012470</vt:i4>
      </vt:variant>
      <vt:variant>
        <vt:i4>90</vt:i4>
      </vt:variant>
      <vt:variant>
        <vt:i4>0</vt:i4>
      </vt:variant>
      <vt:variant>
        <vt:i4>5</vt:i4>
      </vt:variant>
      <vt:variant>
        <vt:lpwstr>http://www.jbc.org/content/257/10/5751.full.pdf</vt:lpwstr>
      </vt:variant>
      <vt:variant>
        <vt:lpwstr/>
      </vt:variant>
      <vt:variant>
        <vt:i4>4784146</vt:i4>
      </vt:variant>
      <vt:variant>
        <vt:i4>87</vt:i4>
      </vt:variant>
      <vt:variant>
        <vt:i4>0</vt:i4>
      </vt:variant>
      <vt:variant>
        <vt:i4>5</vt:i4>
      </vt:variant>
      <vt:variant>
        <vt:lpwstr>http://dx.doi.org/10.4067/S0716-97602013000100005</vt:lpwstr>
      </vt:variant>
      <vt:variant>
        <vt:lpwstr/>
      </vt:variant>
      <vt:variant>
        <vt:i4>5373982</vt:i4>
      </vt:variant>
      <vt:variant>
        <vt:i4>84</vt:i4>
      </vt:variant>
      <vt:variant>
        <vt:i4>0</vt:i4>
      </vt:variant>
      <vt:variant>
        <vt:i4>5</vt:i4>
      </vt:variant>
      <vt:variant>
        <vt:lpwstr>https://doi.org/10.1016/j.tiv.2007.06.002</vt:lpwstr>
      </vt:variant>
      <vt:variant>
        <vt:lpwstr/>
      </vt:variant>
      <vt:variant>
        <vt:i4>5570587</vt:i4>
      </vt:variant>
      <vt:variant>
        <vt:i4>81</vt:i4>
      </vt:variant>
      <vt:variant>
        <vt:i4>0</vt:i4>
      </vt:variant>
      <vt:variant>
        <vt:i4>5</vt:i4>
      </vt:variant>
      <vt:variant>
        <vt:lpwstr>https://doi.org/10.1111/j.1582-4934.2007.00008.x</vt:lpwstr>
      </vt:variant>
      <vt:variant>
        <vt:lpwstr/>
      </vt:variant>
      <vt:variant>
        <vt:i4>3932207</vt:i4>
      </vt:variant>
      <vt:variant>
        <vt:i4>78</vt:i4>
      </vt:variant>
      <vt:variant>
        <vt:i4>0</vt:i4>
      </vt:variant>
      <vt:variant>
        <vt:i4>5</vt:i4>
      </vt:variant>
      <vt:variant>
        <vt:lpwstr>https://doi.org/10.3390/molecules190812789</vt:lpwstr>
      </vt:variant>
      <vt:variant>
        <vt:lpwstr/>
      </vt:variant>
      <vt:variant>
        <vt:i4>1245215</vt:i4>
      </vt:variant>
      <vt:variant>
        <vt:i4>75</vt:i4>
      </vt:variant>
      <vt:variant>
        <vt:i4>0</vt:i4>
      </vt:variant>
      <vt:variant>
        <vt:i4>5</vt:i4>
      </vt:variant>
      <vt:variant>
        <vt:lpwstr>https://doi.org/10.1007/s002040000167</vt:lpwstr>
      </vt:variant>
      <vt:variant>
        <vt:lpwstr/>
      </vt:variant>
      <vt:variant>
        <vt:i4>3407998</vt:i4>
      </vt:variant>
      <vt:variant>
        <vt:i4>72</vt:i4>
      </vt:variant>
      <vt:variant>
        <vt:i4>0</vt:i4>
      </vt:variant>
      <vt:variant>
        <vt:i4>5</vt:i4>
      </vt:variant>
      <vt:variant>
        <vt:lpwstr>https://doi.org/10.1006/abbi.1995.1228</vt:lpwstr>
      </vt:variant>
      <vt:variant>
        <vt:lpwstr/>
      </vt:variant>
      <vt:variant>
        <vt:i4>3014756</vt:i4>
      </vt:variant>
      <vt:variant>
        <vt:i4>69</vt:i4>
      </vt:variant>
      <vt:variant>
        <vt:i4>0</vt:i4>
      </vt:variant>
      <vt:variant>
        <vt:i4>5</vt:i4>
      </vt:variant>
      <vt:variant>
        <vt:lpwstr>https://doi.org/10.1179/135100003225002817</vt:lpwstr>
      </vt:variant>
      <vt:variant>
        <vt:lpwstr/>
      </vt:variant>
      <vt:variant>
        <vt:i4>6488126</vt:i4>
      </vt:variant>
      <vt:variant>
        <vt:i4>66</vt:i4>
      </vt:variant>
      <vt:variant>
        <vt:i4>0</vt:i4>
      </vt:variant>
      <vt:variant>
        <vt:i4>5</vt:i4>
      </vt:variant>
      <vt:variant>
        <vt:lpwstr>https://doi.org/10.1191%2F0960327104ht408oa</vt:lpwstr>
      </vt:variant>
      <vt:variant>
        <vt:lpwstr/>
      </vt:variant>
      <vt:variant>
        <vt:i4>6225945</vt:i4>
      </vt:variant>
      <vt:variant>
        <vt:i4>63</vt:i4>
      </vt:variant>
      <vt:variant>
        <vt:i4>0</vt:i4>
      </vt:variant>
      <vt:variant>
        <vt:i4>5</vt:i4>
      </vt:variant>
      <vt:variant>
        <vt:lpwstr>https://doi.org/10.1016/j.tiv.2009.11.022</vt:lpwstr>
      </vt:variant>
      <vt:variant>
        <vt:lpwstr/>
      </vt:variant>
      <vt:variant>
        <vt:i4>6357105</vt:i4>
      </vt:variant>
      <vt:variant>
        <vt:i4>60</vt:i4>
      </vt:variant>
      <vt:variant>
        <vt:i4>0</vt:i4>
      </vt:variant>
      <vt:variant>
        <vt:i4>5</vt:i4>
      </vt:variant>
      <vt:variant>
        <vt:lpwstr>http://www.jbc.org/content/249/22/7130.full.pdf</vt:lpwstr>
      </vt:variant>
      <vt:variant>
        <vt:lpwstr/>
      </vt:variant>
      <vt:variant>
        <vt:i4>720964</vt:i4>
      </vt:variant>
      <vt:variant>
        <vt:i4>57</vt:i4>
      </vt:variant>
      <vt:variant>
        <vt:i4>0</vt:i4>
      </vt:variant>
      <vt:variant>
        <vt:i4>5</vt:i4>
      </vt:variant>
      <vt:variant>
        <vt:lpwstr>https://doi.org/10.1016/0003-2697(71)90375-7)</vt:lpwstr>
      </vt:variant>
      <vt:variant>
        <vt:lpwstr/>
      </vt:variant>
      <vt:variant>
        <vt:i4>65604</vt:i4>
      </vt:variant>
      <vt:variant>
        <vt:i4>54</vt:i4>
      </vt:variant>
      <vt:variant>
        <vt:i4>0</vt:i4>
      </vt:variant>
      <vt:variant>
        <vt:i4>5</vt:i4>
      </vt:variant>
      <vt:variant>
        <vt:lpwstr>https://doi.org/10.1016/0003-2697(71)90370-8)</vt:lpwstr>
      </vt:variant>
      <vt:variant>
        <vt:lpwstr/>
      </vt:variant>
      <vt:variant>
        <vt:i4>1048667</vt:i4>
      </vt:variant>
      <vt:variant>
        <vt:i4>51</vt:i4>
      </vt:variant>
      <vt:variant>
        <vt:i4>0</vt:i4>
      </vt:variant>
      <vt:variant>
        <vt:i4>5</vt:i4>
      </vt:variant>
      <vt:variant>
        <vt:lpwstr>http://www.jbc.org/content/112/1/51.full.pdf</vt:lpwstr>
      </vt:variant>
      <vt:variant>
        <vt:lpwstr/>
      </vt:variant>
      <vt:variant>
        <vt:i4>3735614</vt:i4>
      </vt:variant>
      <vt:variant>
        <vt:i4>48</vt:i4>
      </vt:variant>
      <vt:variant>
        <vt:i4>0</vt:i4>
      </vt:variant>
      <vt:variant>
        <vt:i4>5</vt:i4>
      </vt:variant>
      <vt:variant>
        <vt:lpwstr>https://pubchem.ncbi.nlm.nih.gov/compound/Terbuthylazine</vt:lpwstr>
      </vt:variant>
      <vt:variant>
        <vt:lpwstr>section=Top</vt:lpwstr>
      </vt:variant>
      <vt:variant>
        <vt:i4>458772</vt:i4>
      </vt:variant>
      <vt:variant>
        <vt:i4>45</vt:i4>
      </vt:variant>
      <vt:variant>
        <vt:i4>0</vt:i4>
      </vt:variant>
      <vt:variant>
        <vt:i4>5</vt:i4>
      </vt:variant>
      <vt:variant>
        <vt:lpwstr>https://doi.org/10.1186/s40490-016-0072-0</vt:lpwstr>
      </vt:variant>
      <vt:variant>
        <vt:lpwstr/>
      </vt:variant>
      <vt:variant>
        <vt:i4>262173</vt:i4>
      </vt:variant>
      <vt:variant>
        <vt:i4>42</vt:i4>
      </vt:variant>
      <vt:variant>
        <vt:i4>0</vt:i4>
      </vt:variant>
      <vt:variant>
        <vt:i4>5</vt:i4>
      </vt:variant>
      <vt:variant>
        <vt:lpwstr>https://doi.org/10.1007/s11356-018-2046-7</vt:lpwstr>
      </vt:variant>
      <vt:variant>
        <vt:lpwstr/>
      </vt:variant>
      <vt:variant>
        <vt:i4>5505117</vt:i4>
      </vt:variant>
      <vt:variant>
        <vt:i4>39</vt:i4>
      </vt:variant>
      <vt:variant>
        <vt:i4>0</vt:i4>
      </vt:variant>
      <vt:variant>
        <vt:i4>5</vt:i4>
      </vt:variant>
      <vt:variant>
        <vt:lpwstr>https://doi.org/10.1016/j.toxlet.2012.03.001</vt:lpwstr>
      </vt:variant>
      <vt:variant>
        <vt:lpwstr/>
      </vt:variant>
      <vt:variant>
        <vt:i4>720914</vt:i4>
      </vt:variant>
      <vt:variant>
        <vt:i4>36</vt:i4>
      </vt:variant>
      <vt:variant>
        <vt:i4>0</vt:i4>
      </vt:variant>
      <vt:variant>
        <vt:i4>5</vt:i4>
      </vt:variant>
      <vt:variant>
        <vt:lpwstr>https://doi.org/10.2478/v10102-011-0023-9</vt:lpwstr>
      </vt:variant>
      <vt:variant>
        <vt:lpwstr/>
      </vt:variant>
      <vt:variant>
        <vt:i4>3539065</vt:i4>
      </vt:variant>
      <vt:variant>
        <vt:i4>33</vt:i4>
      </vt:variant>
      <vt:variant>
        <vt:i4>0</vt:i4>
      </vt:variant>
      <vt:variant>
        <vt:i4>5</vt:i4>
      </vt:variant>
      <vt:variant>
        <vt:lpwstr>https://doi.org/10.1016/j.scitotenv.2016.05.113</vt:lpwstr>
      </vt:variant>
      <vt:variant>
        <vt:lpwstr/>
      </vt:variant>
      <vt:variant>
        <vt:i4>5570626</vt:i4>
      </vt:variant>
      <vt:variant>
        <vt:i4>30</vt:i4>
      </vt:variant>
      <vt:variant>
        <vt:i4>0</vt:i4>
      </vt:variant>
      <vt:variant>
        <vt:i4>5</vt:i4>
      </vt:variant>
      <vt:variant>
        <vt:lpwstr>http://dx.doi.org/10.1155/2014/621304</vt:lpwstr>
      </vt:variant>
      <vt:variant>
        <vt:lpwstr/>
      </vt:variant>
      <vt:variant>
        <vt:i4>1310724</vt:i4>
      </vt:variant>
      <vt:variant>
        <vt:i4>27</vt:i4>
      </vt:variant>
      <vt:variant>
        <vt:i4>0</vt:i4>
      </vt:variant>
      <vt:variant>
        <vt:i4>5</vt:i4>
      </vt:variant>
      <vt:variant>
        <vt:lpwstr>https://doi.org/10.2903/j.efsa.2011.1969</vt:lpwstr>
      </vt:variant>
      <vt:variant>
        <vt:lpwstr/>
      </vt:variant>
      <vt:variant>
        <vt:i4>4325387</vt:i4>
      </vt:variant>
      <vt:variant>
        <vt:i4>24</vt:i4>
      </vt:variant>
      <vt:variant>
        <vt:i4>0</vt:i4>
      </vt:variant>
      <vt:variant>
        <vt:i4>5</vt:i4>
      </vt:variant>
      <vt:variant>
        <vt:lpwstr>https://doi.org/10.1016/j.aquatox.2011.08.007</vt:lpwstr>
      </vt:variant>
      <vt:variant>
        <vt:lpwstr/>
      </vt:variant>
      <vt:variant>
        <vt:i4>393240</vt:i4>
      </vt:variant>
      <vt:variant>
        <vt:i4>21</vt:i4>
      </vt:variant>
      <vt:variant>
        <vt:i4>0</vt:i4>
      </vt:variant>
      <vt:variant>
        <vt:i4>5</vt:i4>
      </vt:variant>
      <vt:variant>
        <vt:lpwstr>https://doi.org/10.1007/s11010-011-0780-y</vt:lpwstr>
      </vt:variant>
      <vt:variant>
        <vt:lpwstr/>
      </vt:variant>
      <vt:variant>
        <vt:i4>5374027</vt:i4>
      </vt:variant>
      <vt:variant>
        <vt:i4>18</vt:i4>
      </vt:variant>
      <vt:variant>
        <vt:i4>0</vt:i4>
      </vt:variant>
      <vt:variant>
        <vt:i4>5</vt:i4>
      </vt:variant>
      <vt:variant>
        <vt:lpwstr>https://dx.doi.org/10.4103%2F0971-6580.75871</vt:lpwstr>
      </vt:variant>
      <vt:variant>
        <vt:lpwstr/>
      </vt:variant>
      <vt:variant>
        <vt:i4>5373969</vt:i4>
      </vt:variant>
      <vt:variant>
        <vt:i4>15</vt:i4>
      </vt:variant>
      <vt:variant>
        <vt:i4>0</vt:i4>
      </vt:variant>
      <vt:variant>
        <vt:i4>5</vt:i4>
      </vt:variant>
      <vt:variant>
        <vt:lpwstr>https://doi.org/10.1016/j.tiv.2006.09.019</vt:lpwstr>
      </vt:variant>
      <vt:variant>
        <vt:lpwstr/>
      </vt:variant>
      <vt:variant>
        <vt:i4>7929888</vt:i4>
      </vt:variant>
      <vt:variant>
        <vt:i4>12</vt:i4>
      </vt:variant>
      <vt:variant>
        <vt:i4>0</vt:i4>
      </vt:variant>
      <vt:variant>
        <vt:i4>5</vt:i4>
      </vt:variant>
      <vt:variant>
        <vt:lpwstr>https://archive.epa.gov/pesticides/reregistration/web/html/status.html</vt:lpwstr>
      </vt:variant>
      <vt:variant>
        <vt:lpwstr/>
      </vt:variant>
      <vt:variant>
        <vt:i4>3997778</vt:i4>
      </vt:variant>
      <vt:variant>
        <vt:i4>9</vt:i4>
      </vt:variant>
      <vt:variant>
        <vt:i4>0</vt:i4>
      </vt:variant>
      <vt:variant>
        <vt:i4>5</vt:i4>
      </vt:variant>
      <vt:variant>
        <vt:lpwstr>http://www.pesticideinfo.org/Search_Chemicals.jsp</vt:lpwstr>
      </vt:variant>
      <vt:variant>
        <vt:lpwstr/>
      </vt:variant>
      <vt:variant>
        <vt:i4>6291466</vt:i4>
      </vt:variant>
      <vt:variant>
        <vt:i4>0</vt:i4>
      </vt:variant>
      <vt:variant>
        <vt:i4>0</vt:i4>
      </vt:variant>
      <vt:variant>
        <vt:i4>5</vt:i4>
      </vt:variant>
      <vt:variant>
        <vt:lpwstr>mailto:biljana.davidovic-plavsic@pmf.unibl.org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effect of terbuthylazine on human erythrocyte antioxidative enzymes in vitro</dc:title>
  <dc:creator>TOSHIBA</dc:creator>
  <cp:lastModifiedBy>TOSHIBA</cp:lastModifiedBy>
  <cp:revision>2</cp:revision>
  <cp:lastPrinted>2018-08-18T12:48:00Z</cp:lastPrinted>
  <dcterms:created xsi:type="dcterms:W3CDTF">2018-12-26T18:06:00Z</dcterms:created>
  <dcterms:modified xsi:type="dcterms:W3CDTF">2018-12-26T18:06:00Z</dcterms:modified>
</cp:coreProperties>
</file>