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1B" w:rsidRDefault="00DF2316" w:rsidP="00DF2316">
      <w:pPr>
        <w:jc w:val="center"/>
        <w:rPr>
          <w:rFonts w:ascii="Times New Roman" w:hAnsi="Times New Roman" w:cs="Times New Roman"/>
          <w:b/>
          <w:sz w:val="24"/>
          <w:szCs w:val="24"/>
        </w:rPr>
      </w:pPr>
      <w:r w:rsidRPr="00DF2316">
        <w:rPr>
          <w:rFonts w:ascii="Times New Roman" w:hAnsi="Times New Roman" w:cs="Times New Roman"/>
          <w:b/>
          <w:sz w:val="24"/>
          <w:szCs w:val="24"/>
        </w:rPr>
        <w:t>List of Supplementary Materials</w:t>
      </w:r>
    </w:p>
    <w:p w:rsidR="00DF2316" w:rsidRPr="00DF2316" w:rsidRDefault="00DF2316" w:rsidP="00DF2316">
      <w:pPr>
        <w:spacing w:after="0" w:line="360" w:lineRule="auto"/>
        <w:jc w:val="both"/>
        <w:rPr>
          <w:rFonts w:ascii="Times New Roman" w:eastAsia="Calibri" w:hAnsi="Times New Roman" w:cs="Times New Roman"/>
          <w:b/>
          <w:sz w:val="24"/>
          <w:szCs w:val="24"/>
        </w:rPr>
      </w:pPr>
      <w:r w:rsidRPr="00DF2316">
        <w:rPr>
          <w:rFonts w:ascii="Times New Roman" w:eastAsia="Calibri" w:hAnsi="Times New Roman" w:cs="Times New Roman"/>
          <w:b/>
          <w:sz w:val="24"/>
          <w:szCs w:val="24"/>
        </w:rPr>
        <w:t xml:space="preserve">Powder X-ray Diffraction Analysis </w:t>
      </w:r>
    </w:p>
    <w:p w:rsidR="00DF2316" w:rsidRPr="00DF2316" w:rsidRDefault="00DF2316" w:rsidP="00DF2316">
      <w:pPr>
        <w:spacing w:after="200" w:line="360" w:lineRule="auto"/>
        <w:jc w:val="both"/>
        <w:rPr>
          <w:rFonts w:ascii="Times New Roman" w:eastAsia="Calibri" w:hAnsi="Times New Roman" w:cs="Times New Roman"/>
          <w:sz w:val="24"/>
          <w:szCs w:val="24"/>
        </w:rPr>
      </w:pPr>
      <w:r w:rsidRPr="00DF2316">
        <w:rPr>
          <w:rFonts w:ascii="Times New Roman" w:eastAsia="Calibri" w:hAnsi="Times New Roman" w:cs="Times New Roman"/>
          <w:sz w:val="24"/>
          <w:szCs w:val="24"/>
        </w:rPr>
        <w:t>Raw material (</w:t>
      </w:r>
      <w:proofErr w:type="spellStart"/>
      <w:r w:rsidRPr="00DF2316">
        <w:rPr>
          <w:rFonts w:ascii="Times New Roman" w:eastAsia="Calibri" w:hAnsi="Times New Roman" w:cs="Times New Roman"/>
          <w:i/>
          <w:sz w:val="24"/>
          <w:szCs w:val="24"/>
        </w:rPr>
        <w:t>Reptonia</w:t>
      </w:r>
      <w:proofErr w:type="spellEnd"/>
      <w:r w:rsidRPr="00DF2316">
        <w:rPr>
          <w:rFonts w:ascii="Times New Roman" w:eastAsia="Calibri" w:hAnsi="Times New Roman" w:cs="Times New Roman"/>
          <w:i/>
          <w:sz w:val="24"/>
          <w:szCs w:val="24"/>
        </w:rPr>
        <w:t xml:space="preserve"> </w:t>
      </w:r>
      <w:proofErr w:type="spellStart"/>
      <w:r w:rsidRPr="00DF2316">
        <w:rPr>
          <w:rFonts w:ascii="Times New Roman" w:eastAsia="Calibri" w:hAnsi="Times New Roman" w:cs="Times New Roman"/>
          <w:i/>
          <w:sz w:val="24"/>
          <w:szCs w:val="24"/>
        </w:rPr>
        <w:t>Buxifollia</w:t>
      </w:r>
      <w:proofErr w:type="spellEnd"/>
      <w:r w:rsidRPr="00DF2316">
        <w:rPr>
          <w:rFonts w:ascii="Times New Roman" w:eastAsia="Calibri" w:hAnsi="Times New Roman" w:cs="Times New Roman"/>
          <w:sz w:val="24"/>
          <w:szCs w:val="24"/>
        </w:rPr>
        <w:t xml:space="preserve"> seeds) and ACs prepared from raw material were investigated using XRD which is illustrated in Fig. 1. The figure indicates AC exhibit broad diffraction peaks at two theta position of 25</w:t>
      </w:r>
      <w:r w:rsidRPr="00DF2316">
        <w:rPr>
          <w:rFonts w:ascii="Times New Roman" w:eastAsia="Calibri" w:hAnsi="Times New Roman" w:cs="Times New Roman"/>
          <w:sz w:val="24"/>
          <w:szCs w:val="24"/>
          <w:vertAlign w:val="superscript"/>
        </w:rPr>
        <w:t xml:space="preserve">o </w:t>
      </w:r>
      <w:r w:rsidRPr="00DF2316">
        <w:rPr>
          <w:rFonts w:ascii="Times New Roman" w:eastAsia="Calibri" w:hAnsi="Times New Roman" w:cs="Times New Roman"/>
          <w:sz w:val="24"/>
          <w:szCs w:val="24"/>
        </w:rPr>
        <w:t>which, clues for presence of graphitic carbon. However, the absence of sharp diffraction peak at 2Ɵ of 25</w:t>
      </w:r>
      <w:r w:rsidRPr="00DF2316">
        <w:rPr>
          <w:rFonts w:ascii="Times New Roman" w:eastAsia="Calibri" w:hAnsi="Times New Roman" w:cs="Times New Roman"/>
          <w:sz w:val="24"/>
          <w:szCs w:val="24"/>
          <w:vertAlign w:val="superscript"/>
        </w:rPr>
        <w:t>o</w:t>
      </w:r>
      <w:r w:rsidRPr="00DF2316">
        <w:rPr>
          <w:rFonts w:ascii="Times New Roman" w:eastAsia="Calibri" w:hAnsi="Times New Roman" w:cs="Times New Roman"/>
          <w:sz w:val="24"/>
          <w:szCs w:val="24"/>
        </w:rPr>
        <w:t xml:space="preserve"> reveals a predominantly amorphous structure, which is an advantageous property fo</w:t>
      </w:r>
      <w:r w:rsidR="00A7495D">
        <w:rPr>
          <w:rFonts w:ascii="Times New Roman" w:eastAsia="Calibri" w:hAnsi="Times New Roman" w:cs="Times New Roman"/>
          <w:sz w:val="24"/>
          <w:szCs w:val="24"/>
        </w:rPr>
        <w:t xml:space="preserve">r well-defined porous </w:t>
      </w:r>
      <w:proofErr w:type="gramStart"/>
      <w:r w:rsidR="00A7495D">
        <w:rPr>
          <w:rFonts w:ascii="Times New Roman" w:eastAsia="Calibri" w:hAnsi="Times New Roman" w:cs="Times New Roman"/>
          <w:sz w:val="24"/>
          <w:szCs w:val="24"/>
        </w:rPr>
        <w:t>materials</w:t>
      </w:r>
      <w:r w:rsidR="00A7495D" w:rsidRPr="00A7495D">
        <w:rPr>
          <w:rFonts w:ascii="Times New Roman" w:eastAsia="Calibri" w:hAnsi="Times New Roman" w:cs="Times New Roman"/>
          <w:sz w:val="24"/>
          <w:szCs w:val="24"/>
        </w:rPr>
        <w:t>[</w:t>
      </w:r>
      <w:proofErr w:type="gramEnd"/>
      <w:r w:rsidR="00A7495D" w:rsidRPr="00A7495D">
        <w:rPr>
          <w:rFonts w:ascii="Times New Roman" w:eastAsia="Calibri" w:hAnsi="Times New Roman" w:cs="Times New Roman"/>
          <w:sz w:val="24"/>
          <w:szCs w:val="24"/>
        </w:rPr>
        <w:t>1]</w:t>
      </w:r>
      <w:r w:rsidR="00A7495D">
        <w:rPr>
          <w:rFonts w:ascii="Times New Roman" w:eastAsia="Calibri" w:hAnsi="Times New Roman" w:cs="Times New Roman"/>
          <w:sz w:val="24"/>
          <w:szCs w:val="24"/>
        </w:rPr>
        <w:t>.</w:t>
      </w:r>
    </w:p>
    <w:p w:rsidR="00DF2316" w:rsidRPr="00DF2316" w:rsidRDefault="003401FB" w:rsidP="00DF2316">
      <w:pPr>
        <w:spacing w:after="200" w:line="360" w:lineRule="auto"/>
        <w:jc w:val="both"/>
        <w:rPr>
          <w:rFonts w:ascii="Times New Roman" w:eastAsia="Calibri" w:hAnsi="Times New Roman" w:cs="Times New Roman"/>
          <w:b/>
          <w:noProof/>
          <w:sz w:val="24"/>
          <w:szCs w:val="24"/>
        </w:rPr>
      </w:pPr>
      <w:r>
        <w:rPr>
          <w:rFonts w:ascii="Times New Roman" w:eastAsia="Calibri" w:hAnsi="Times New Roman" w:cs="Times New Roman"/>
          <w:b/>
          <w:noProof/>
          <w:sz w:val="24"/>
          <w:szCs w:val="24"/>
        </w:rPr>
        <w:drawing>
          <wp:inline distT="0" distB="0" distL="0" distR="0">
            <wp:extent cx="5943600" cy="31594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X-ray Diffraction of R.B seeds and ACs.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4710" cy="3160047"/>
                    </a:xfrm>
                    <a:prstGeom prst="rect">
                      <a:avLst/>
                    </a:prstGeom>
                  </pic:spPr>
                </pic:pic>
              </a:graphicData>
            </a:graphic>
          </wp:inline>
        </w:drawing>
      </w:r>
    </w:p>
    <w:p w:rsidR="00206630" w:rsidRPr="001A2255" w:rsidRDefault="00DF2316" w:rsidP="00206630">
      <w:pPr>
        <w:spacing w:after="200" w:line="360" w:lineRule="auto"/>
        <w:jc w:val="both"/>
        <w:rPr>
          <w:rFonts w:ascii="Times New Roman" w:eastAsia="Calibri" w:hAnsi="Times New Roman" w:cs="Times New Roman"/>
          <w:noProof/>
          <w:sz w:val="24"/>
          <w:szCs w:val="24"/>
        </w:rPr>
      </w:pPr>
      <w:r w:rsidRPr="00DF2316">
        <w:rPr>
          <w:rFonts w:ascii="Times New Roman" w:eastAsia="Calibri" w:hAnsi="Times New Roman" w:cs="Times New Roman"/>
          <w:b/>
          <w:noProof/>
          <w:sz w:val="24"/>
          <w:szCs w:val="24"/>
        </w:rPr>
        <w:t xml:space="preserve">        </w:t>
      </w:r>
      <w:r w:rsidRPr="00DF2316">
        <w:rPr>
          <w:rFonts w:ascii="Times New Roman" w:eastAsia="Calibri" w:hAnsi="Times New Roman" w:cs="Times New Roman"/>
          <w:noProof/>
          <w:sz w:val="24"/>
          <w:szCs w:val="24"/>
        </w:rPr>
        <w:t>Fig. 1.</w:t>
      </w:r>
      <w:r w:rsidRPr="00DF2316">
        <w:rPr>
          <w:rFonts w:ascii="Times New Roman" w:eastAsia="Calibri" w:hAnsi="Times New Roman" w:cs="Times New Roman"/>
          <w:b/>
          <w:noProof/>
          <w:sz w:val="24"/>
          <w:szCs w:val="24"/>
        </w:rPr>
        <w:t xml:space="preserve"> </w:t>
      </w:r>
      <w:r w:rsidRPr="00DF2316">
        <w:rPr>
          <w:rFonts w:ascii="Times New Roman" w:eastAsia="Calibri" w:hAnsi="Times New Roman" w:cs="Times New Roman"/>
          <w:noProof/>
          <w:sz w:val="24"/>
          <w:szCs w:val="24"/>
        </w:rPr>
        <w:t>X-ray Diffraction of R.B seeds and ACs</w:t>
      </w:r>
    </w:p>
    <w:p w:rsidR="00F3484A" w:rsidRPr="00F3484A" w:rsidRDefault="00F3484A" w:rsidP="00F3484A">
      <w:pPr>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b/>
          <w:sz w:val="24"/>
          <w:szCs w:val="24"/>
        </w:rPr>
        <w:t>Fourier Transform Infrared (FTIR) Analysis</w:t>
      </w:r>
    </w:p>
    <w:p w:rsidR="00F3484A" w:rsidRPr="00F3484A" w:rsidRDefault="00F3484A" w:rsidP="00F3484A">
      <w:pPr>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sz w:val="24"/>
          <w:szCs w:val="24"/>
        </w:rPr>
        <w:t>The chemical composition of raw (</w:t>
      </w:r>
      <w:proofErr w:type="spellStart"/>
      <w:r w:rsidRPr="00F3484A">
        <w:rPr>
          <w:rFonts w:ascii="Times New Roman" w:eastAsia="Calibri" w:hAnsi="Times New Roman" w:cs="Times New Roman"/>
          <w:i/>
          <w:sz w:val="24"/>
          <w:szCs w:val="24"/>
        </w:rPr>
        <w:t>Reptonia</w:t>
      </w:r>
      <w:proofErr w:type="spellEnd"/>
      <w:r w:rsidRPr="00F3484A">
        <w:rPr>
          <w:rFonts w:ascii="Times New Roman" w:eastAsia="Calibri" w:hAnsi="Times New Roman" w:cs="Times New Roman"/>
          <w:i/>
          <w:sz w:val="24"/>
          <w:szCs w:val="24"/>
        </w:rPr>
        <w:t xml:space="preserve"> </w:t>
      </w:r>
      <w:proofErr w:type="spellStart"/>
      <w:r w:rsidRPr="00F3484A">
        <w:rPr>
          <w:rFonts w:ascii="Times New Roman" w:eastAsia="Calibri" w:hAnsi="Times New Roman" w:cs="Times New Roman"/>
          <w:i/>
          <w:sz w:val="24"/>
          <w:szCs w:val="24"/>
        </w:rPr>
        <w:t>Buxifolia</w:t>
      </w:r>
      <w:proofErr w:type="spellEnd"/>
      <w:r w:rsidRPr="00F3484A">
        <w:rPr>
          <w:rFonts w:ascii="Times New Roman" w:eastAsia="Calibri" w:hAnsi="Times New Roman" w:cs="Times New Roman"/>
          <w:sz w:val="24"/>
          <w:szCs w:val="24"/>
        </w:rPr>
        <w:t xml:space="preserve"> seeds) and ACs prepared from raw material were determined by Fourier Transform Infrared (FTIR) as shown in Fig. </w:t>
      </w:r>
      <w:r w:rsidR="00FF45E1">
        <w:rPr>
          <w:rFonts w:ascii="Times New Roman" w:eastAsia="Calibri" w:hAnsi="Times New Roman" w:cs="Times New Roman"/>
          <w:sz w:val="24"/>
          <w:szCs w:val="24"/>
        </w:rPr>
        <w:t>2</w:t>
      </w:r>
      <w:r w:rsidRPr="00F3484A">
        <w:rPr>
          <w:rFonts w:ascii="Times New Roman" w:eastAsia="Calibri" w:hAnsi="Times New Roman" w:cs="Times New Roman"/>
          <w:sz w:val="24"/>
          <w:szCs w:val="24"/>
        </w:rPr>
        <w:t>. The result of raw material shows a presence of the various functional groups which include hydroxyl groups, amines, various unsaturated hydrocarbons, aldehydes and carbonyl compounds. However, pyrolysis causes loss of some of these peaks in ACs. In raw sample the broad band was observed at 3285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This band is matched to stretching vibration of hydroxyl group on the surface. The sharp band observed at 2919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and 2850 cm</w:t>
      </w:r>
      <w:r w:rsidRPr="00F3484A">
        <w:rPr>
          <w:rFonts w:ascii="Times New Roman" w:eastAsia="Calibri" w:hAnsi="Times New Roman" w:cs="Times New Roman"/>
          <w:sz w:val="24"/>
          <w:szCs w:val="24"/>
          <w:vertAlign w:val="superscript"/>
        </w:rPr>
        <w:t xml:space="preserve">-1 </w:t>
      </w:r>
      <w:r w:rsidRPr="00F3484A">
        <w:rPr>
          <w:rFonts w:ascii="Times New Roman" w:eastAsia="Calibri" w:hAnsi="Times New Roman" w:cs="Times New Roman"/>
          <w:sz w:val="24"/>
          <w:szCs w:val="24"/>
        </w:rPr>
        <w:t xml:space="preserve">are due to the asymmetric and symmetric stretching of the methylene C-H bond respectively. However, these peaks disappeared in ACs, as ACs loss these functional </w:t>
      </w:r>
      <w:r w:rsidRPr="00F3484A">
        <w:rPr>
          <w:rFonts w:ascii="Times New Roman" w:eastAsia="Calibri" w:hAnsi="Times New Roman" w:cs="Times New Roman"/>
          <w:sz w:val="24"/>
          <w:szCs w:val="24"/>
        </w:rPr>
        <w:lastRenderedPageBreak/>
        <w:t>groups in heat treatment. The band observed at 2162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(Fig. 3) corresponds to presence of </w:t>
      </w:r>
      <w:proofErr w:type="spellStart"/>
      <w:proofErr w:type="gramStart"/>
      <w:r w:rsidRPr="00F3484A">
        <w:rPr>
          <w:rFonts w:ascii="Times New Roman" w:eastAsia="Calibri" w:hAnsi="Times New Roman" w:cs="Times New Roman"/>
          <w:sz w:val="24"/>
          <w:szCs w:val="24"/>
        </w:rPr>
        <w:t>silane</w:t>
      </w:r>
      <w:proofErr w:type="spellEnd"/>
      <w:r w:rsidRPr="00F3484A">
        <w:rPr>
          <w:rFonts w:ascii="Times New Roman" w:eastAsia="Calibri" w:hAnsi="Times New Roman" w:cs="Times New Roman"/>
          <w:sz w:val="24"/>
          <w:szCs w:val="24"/>
        </w:rPr>
        <w:t>(</w:t>
      </w:r>
      <w:proofErr w:type="gramEnd"/>
      <w:r w:rsidRPr="00F3484A">
        <w:rPr>
          <w:rFonts w:ascii="Times New Roman" w:eastAsia="Calibri" w:hAnsi="Times New Roman" w:cs="Times New Roman"/>
          <w:sz w:val="24"/>
          <w:szCs w:val="24"/>
        </w:rPr>
        <w:t>Si-H) groups</w:t>
      </w:r>
      <w:r w:rsidR="00A7495D">
        <w:rPr>
          <w:rFonts w:ascii="Times New Roman" w:eastAsia="Calibri" w:hAnsi="Times New Roman" w:cs="Times New Roman"/>
          <w:sz w:val="24"/>
          <w:szCs w:val="24"/>
        </w:rPr>
        <w:t xml:space="preserve"> </w:t>
      </w:r>
      <w:r w:rsidR="00A7495D" w:rsidRPr="00A7495D">
        <w:rPr>
          <w:rFonts w:ascii="Times New Roman" w:eastAsia="Calibri" w:hAnsi="Times New Roman" w:cs="Times New Roman"/>
          <w:sz w:val="24"/>
          <w:szCs w:val="24"/>
        </w:rPr>
        <w:t>[</w:t>
      </w:r>
      <w:r w:rsidR="00FF45E1">
        <w:rPr>
          <w:rFonts w:ascii="Times New Roman" w:eastAsia="Calibri" w:hAnsi="Times New Roman" w:cs="Times New Roman"/>
          <w:sz w:val="24"/>
          <w:szCs w:val="24"/>
        </w:rPr>
        <w:t>2</w:t>
      </w:r>
      <w:r w:rsidR="00A7495D" w:rsidRPr="00A7495D">
        <w:rPr>
          <w:rFonts w:ascii="Times New Roman" w:eastAsia="Calibri" w:hAnsi="Times New Roman" w:cs="Times New Roman"/>
          <w:sz w:val="24"/>
          <w:szCs w:val="24"/>
        </w:rPr>
        <w:t>]</w:t>
      </w:r>
      <w:r w:rsidR="00A7495D">
        <w:rPr>
          <w:rFonts w:ascii="Times New Roman" w:eastAsia="Calibri" w:hAnsi="Times New Roman" w:cs="Times New Roman"/>
          <w:sz w:val="24"/>
          <w:szCs w:val="24"/>
        </w:rPr>
        <w:t>.</w:t>
      </w:r>
      <w:r w:rsidRPr="00F3484A">
        <w:rPr>
          <w:rFonts w:ascii="Times New Roman" w:eastAsia="Calibri" w:hAnsi="Times New Roman" w:cs="Times New Roman"/>
          <w:sz w:val="24"/>
          <w:szCs w:val="24"/>
        </w:rPr>
        <w:t xml:space="preserve"> The band due to </w:t>
      </w:r>
      <w:proofErr w:type="spellStart"/>
      <w:r w:rsidRPr="00F3484A">
        <w:rPr>
          <w:rFonts w:ascii="Times New Roman" w:eastAsia="Calibri" w:hAnsi="Times New Roman" w:cs="Times New Roman"/>
          <w:sz w:val="24"/>
          <w:szCs w:val="24"/>
        </w:rPr>
        <w:t>silane</w:t>
      </w:r>
      <w:proofErr w:type="spellEnd"/>
      <w:r w:rsidRPr="00F3484A">
        <w:rPr>
          <w:rFonts w:ascii="Times New Roman" w:eastAsia="Calibri" w:hAnsi="Times New Roman" w:cs="Times New Roman"/>
          <w:sz w:val="24"/>
          <w:szCs w:val="24"/>
        </w:rPr>
        <w:t xml:space="preserve"> was also retained in ACs. The band observed at 1235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is matching to stretching vibration of C-O. The band found at 1627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and 1032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were due to the presence of phenol. In ACs new peaks at 1404 cm</w:t>
      </w:r>
      <w:r w:rsidRPr="00F3484A">
        <w:rPr>
          <w:rFonts w:ascii="Times New Roman" w:eastAsia="Calibri" w:hAnsi="Times New Roman" w:cs="Times New Roman"/>
          <w:sz w:val="24"/>
          <w:szCs w:val="24"/>
          <w:vertAlign w:val="superscript"/>
        </w:rPr>
        <w:t>-1</w:t>
      </w:r>
      <w:r w:rsidRPr="00F3484A">
        <w:rPr>
          <w:rFonts w:ascii="Times New Roman" w:eastAsia="Calibri" w:hAnsi="Times New Roman" w:cs="Times New Roman"/>
          <w:sz w:val="24"/>
          <w:szCs w:val="24"/>
        </w:rPr>
        <w:t xml:space="preserve"> is observed which might be due to the carbonate group develop in ACs. </w:t>
      </w:r>
    </w:p>
    <w:p w:rsidR="00F3484A" w:rsidRPr="00F3484A" w:rsidRDefault="003401FB" w:rsidP="00F3484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extent cx="5943600" cy="31526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3 FTIR spectra of raw material and ACs.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5380" cy="3153577"/>
                    </a:xfrm>
                    <a:prstGeom prst="rect">
                      <a:avLst/>
                    </a:prstGeom>
                  </pic:spPr>
                </pic:pic>
              </a:graphicData>
            </a:graphic>
          </wp:inline>
        </w:drawing>
      </w:r>
    </w:p>
    <w:p w:rsidR="00FF45E1" w:rsidRDefault="00F3484A" w:rsidP="00FF45E1">
      <w:pPr>
        <w:tabs>
          <w:tab w:val="center" w:pos="720"/>
          <w:tab w:val="left" w:pos="2880"/>
          <w:tab w:val="center" w:pos="3600"/>
          <w:tab w:val="left" w:pos="5760"/>
          <w:tab w:val="center" w:pos="6480"/>
        </w:tabs>
        <w:spacing w:after="200" w:line="360" w:lineRule="auto"/>
        <w:jc w:val="both"/>
        <w:rPr>
          <w:rFonts w:ascii="Times New Roman" w:eastAsia="Calibri" w:hAnsi="Times New Roman" w:cs="Times New Roman"/>
          <w:sz w:val="24"/>
          <w:szCs w:val="24"/>
        </w:rPr>
      </w:pPr>
      <w:r w:rsidRPr="00F3484A">
        <w:rPr>
          <w:rFonts w:ascii="Times New Roman" w:eastAsia="Calibri" w:hAnsi="Times New Roman" w:cs="Times New Roman"/>
          <w:sz w:val="24"/>
          <w:szCs w:val="24"/>
        </w:rPr>
        <w:t xml:space="preserve">    Fig. 2.</w:t>
      </w:r>
      <w:r w:rsidRPr="00F3484A">
        <w:rPr>
          <w:rFonts w:ascii="Times New Roman" w:eastAsia="Calibri" w:hAnsi="Times New Roman" w:cs="Times New Roman"/>
          <w:b/>
          <w:sz w:val="24"/>
          <w:szCs w:val="24"/>
        </w:rPr>
        <w:t xml:space="preserve"> </w:t>
      </w:r>
      <w:r w:rsidRPr="00F3484A">
        <w:rPr>
          <w:rFonts w:ascii="Times New Roman" w:eastAsia="Calibri" w:hAnsi="Times New Roman" w:cs="Times New Roman"/>
          <w:sz w:val="24"/>
          <w:szCs w:val="24"/>
        </w:rPr>
        <w:t>FTIR spectra of raw material and ACs</w:t>
      </w:r>
    </w:p>
    <w:p w:rsidR="00FF45E1" w:rsidRPr="00206630" w:rsidRDefault="00FF45E1" w:rsidP="00FF45E1">
      <w:pPr>
        <w:spacing w:after="200" w:line="360" w:lineRule="auto"/>
        <w:jc w:val="both"/>
        <w:rPr>
          <w:rFonts w:ascii="Times New Roman" w:eastAsia="Calibri" w:hAnsi="Times New Roman" w:cs="Times New Roman"/>
          <w:b/>
          <w:sz w:val="24"/>
          <w:szCs w:val="24"/>
        </w:rPr>
      </w:pPr>
      <w:r w:rsidRPr="00206630">
        <w:rPr>
          <w:rFonts w:ascii="Times New Roman" w:eastAsia="Calibri" w:hAnsi="Times New Roman" w:cs="Times New Roman"/>
          <w:b/>
          <w:sz w:val="24"/>
          <w:szCs w:val="24"/>
        </w:rPr>
        <w:t>Pseudo-1</w:t>
      </w:r>
      <w:r w:rsidRPr="00206630">
        <w:rPr>
          <w:rFonts w:ascii="Times New Roman" w:eastAsia="Calibri" w:hAnsi="Times New Roman" w:cs="Times New Roman"/>
          <w:b/>
          <w:sz w:val="24"/>
          <w:szCs w:val="24"/>
          <w:vertAlign w:val="superscript"/>
        </w:rPr>
        <w:t>st</w:t>
      </w:r>
      <w:r w:rsidRPr="00206630">
        <w:rPr>
          <w:rFonts w:ascii="Times New Roman" w:eastAsia="Calibri" w:hAnsi="Times New Roman" w:cs="Times New Roman"/>
          <w:b/>
          <w:sz w:val="24"/>
          <w:szCs w:val="24"/>
        </w:rPr>
        <w:t xml:space="preserve"> Order Kinetic Equation</w:t>
      </w:r>
    </w:p>
    <w:p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A pseudo-1</w:t>
      </w:r>
      <w:r w:rsidRPr="00206630">
        <w:rPr>
          <w:rFonts w:ascii="Times New Roman" w:eastAsia="Calibri" w:hAnsi="Times New Roman" w:cs="Times New Roman"/>
          <w:sz w:val="24"/>
          <w:szCs w:val="24"/>
          <w:vertAlign w:val="superscript"/>
        </w:rPr>
        <w:t>st</w:t>
      </w:r>
      <w:r w:rsidRPr="00206630">
        <w:rPr>
          <w:rFonts w:ascii="Times New Roman" w:eastAsia="Calibri" w:hAnsi="Times New Roman" w:cs="Times New Roman"/>
          <w:sz w:val="24"/>
          <w:szCs w:val="24"/>
        </w:rPr>
        <w:t xml:space="preserve">-order kinetic model successfully explains the kinetics of many adsorption systems. The </w:t>
      </w:r>
      <w:proofErr w:type="spellStart"/>
      <w:r w:rsidRPr="00206630">
        <w:rPr>
          <w:rFonts w:ascii="Times New Roman" w:eastAsia="Calibri" w:hAnsi="Times New Roman" w:cs="Times New Roman"/>
          <w:sz w:val="24"/>
          <w:szCs w:val="24"/>
        </w:rPr>
        <w:t>Lagergren</w:t>
      </w:r>
      <w:proofErr w:type="spellEnd"/>
      <w:r w:rsidRPr="00206630">
        <w:rPr>
          <w:rFonts w:ascii="Times New Roman" w:eastAsia="Calibri" w:hAnsi="Times New Roman" w:cs="Times New Roman"/>
          <w:sz w:val="24"/>
          <w:szCs w:val="24"/>
        </w:rPr>
        <w:t xml:space="preserve"> equation is given as follows</w:t>
      </w:r>
      <w:r w:rsidRPr="00206630">
        <w:rPr>
          <w:rFonts w:ascii="Times New Roman" w:eastAsia="Calibri" w:hAnsi="Times New Roman" w:cs="Times New Roman"/>
          <w:sz w:val="24"/>
          <w:szCs w:val="24"/>
        </w:rPr>
        <w:fldChar w:fldCharType="begin"/>
      </w:r>
      <w:r w:rsidRPr="00206630">
        <w:rPr>
          <w:rFonts w:ascii="Times New Roman" w:eastAsia="Calibri" w:hAnsi="Times New Roman" w:cs="Times New Roman"/>
          <w:sz w:val="24"/>
          <w:szCs w:val="24"/>
        </w:rPr>
        <w:instrText xml:space="preserve"> ADDIN EN.CITE &lt;EndNote&gt;&lt;Cite&gt;&lt;Author&gt;Jamiu&lt;/Author&gt;&lt;Year&gt;2015&lt;/Year&gt;&lt;RecNum&gt;27&lt;/RecNum&gt;&lt;DisplayText&gt;[26]&lt;/DisplayText&gt;&lt;record&gt;&lt;rec-number&gt;27&lt;/rec-number&gt;&lt;foreign-keys&gt;&lt;key app="EN" db-id="2a5wfwtdmd9d9qezdzlx5asfvw02fzp52trd" timestamp="1537287056"&gt;27&lt;/key&gt;&lt;/foreign-keys&gt;&lt;ref-type name="Journal Article"&gt;17&lt;/ref-type&gt;&lt;contributors&gt;&lt;authors&gt;&lt;author&gt;Jamiu, Zakariyah A.&lt;/author&gt;&lt;author&gt;Saleh, Tawfik A.&lt;/author&gt;&lt;author&gt;Ali, Shaikh A.&lt;/author&gt;&lt;/authors&gt;&lt;/contributors&gt;&lt;titles&gt;&lt;title&gt;Synthesis of a unique cross-linked polyzwitterion/anion with an aspartic acid residue and its use for Pb2+ removal from aqueous solution&lt;/title&gt;&lt;secondary-title&gt;RSC Advances&lt;/secondary-title&gt;&lt;/titles&gt;&lt;periodical&gt;&lt;full-title&gt;RSC Advances&lt;/full-title&gt;&lt;/periodical&gt;&lt;pages&gt;42222-42232&lt;/pages&gt;&lt;volume&gt;5&lt;/volume&gt;&lt;number&gt;53&lt;/number&gt;&lt;dates&gt;&lt;year&gt;2015&lt;/year&gt;&lt;/dates&gt;&lt;publisher&gt;The Royal Society of Chemistry&lt;/publisher&gt;&lt;work-type&gt;10.1039/C5RA05447H&lt;/work-type&gt;&lt;urls&gt;&lt;related-urls&gt;&lt;url&gt;http://dx.doi.org/10.1039/C5RA05447H&lt;/url&gt;&lt;/related-urls&gt;&lt;/urls&gt;&lt;electronic-resource-num&gt;10.1039/C5RA05447H&lt;/electronic-resource-num&gt;&lt;/record&gt;&lt;/Cite&gt;&lt;/EndNote&gt;</w:instrText>
      </w:r>
      <w:r w:rsidRPr="00206630">
        <w:rPr>
          <w:rFonts w:ascii="Times New Roman" w:eastAsia="Calibri" w:hAnsi="Times New Roman" w:cs="Times New Roman"/>
          <w:sz w:val="24"/>
          <w:szCs w:val="24"/>
        </w:rPr>
        <w:fldChar w:fldCharType="separate"/>
      </w:r>
      <w:r w:rsidRPr="00A7495D">
        <w:rPr>
          <w:rFonts w:ascii="Times New Roman" w:eastAsia="Calibri" w:hAnsi="Times New Roman" w:cs="Times New Roman"/>
          <w:noProof/>
          <w:sz w:val="24"/>
          <w:szCs w:val="24"/>
        </w:rPr>
        <w:t>[</w:t>
      </w:r>
      <w:r>
        <w:rPr>
          <w:rFonts w:ascii="Times New Roman" w:eastAsia="Calibri" w:hAnsi="Times New Roman" w:cs="Times New Roman"/>
          <w:noProof/>
          <w:sz w:val="24"/>
          <w:szCs w:val="24"/>
        </w:rPr>
        <w:t>3</w:t>
      </w:r>
      <w:r w:rsidRPr="00206630">
        <w:rPr>
          <w:rFonts w:ascii="Times New Roman" w:eastAsia="Calibri" w:hAnsi="Times New Roman" w:cs="Times New Roman"/>
          <w:noProof/>
          <w:sz w:val="24"/>
          <w:szCs w:val="24"/>
        </w:rPr>
        <w:t>]</w:t>
      </w:r>
      <w:r w:rsidRPr="00206630">
        <w:rPr>
          <w:rFonts w:ascii="Times New Roman" w:eastAsia="Calibri" w:hAnsi="Times New Roman" w:cs="Times New Roman"/>
          <w:sz w:val="24"/>
          <w:szCs w:val="24"/>
        </w:rPr>
        <w:fldChar w:fldCharType="end"/>
      </w:r>
      <w:r w:rsidRPr="00206630">
        <w:rPr>
          <w:rFonts w:ascii="Times New Roman" w:eastAsia="Calibri" w:hAnsi="Times New Roman" w:cs="Times New Roman"/>
          <w:sz w:val="24"/>
          <w:szCs w:val="24"/>
        </w:rPr>
        <w:t>.</w:t>
      </w:r>
    </w:p>
    <w:p w:rsidR="00FF45E1" w:rsidRPr="00206630" w:rsidRDefault="00FF45E1" w:rsidP="00FF45E1">
      <w:pPr>
        <w:spacing w:after="200" w:line="360" w:lineRule="auto"/>
        <w:jc w:val="both"/>
        <w:rPr>
          <w:rFonts w:ascii="Times New Roman" w:eastAsia="Times New Roman" w:hAnsi="Times New Roman" w:cs="Times New Roman"/>
          <w:sz w:val="24"/>
          <w:szCs w:val="24"/>
        </w:rPr>
      </w:pPr>
      <w:r w:rsidRPr="00206630">
        <w:rPr>
          <w:rFonts w:ascii="Times New Roman" w:eastAsia="Times New Roman" w:hAnsi="Times New Roman" w:cs="Times New Roman"/>
          <w:sz w:val="24"/>
          <w:szCs w:val="24"/>
        </w:rPr>
        <w:t xml:space="preserve">                 </w:t>
      </w:r>
      <m:oMath>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ln</m:t>
            </m:r>
          </m:fName>
          <m:e>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e</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t</m:t>
                </m:r>
              </m:sub>
            </m:sSub>
            <m:r>
              <w:rPr>
                <w:rFonts w:ascii="Cambria Math" w:eastAsia="Calibri" w:hAnsi="Cambria Math" w:cs="Times New Roman"/>
                <w:sz w:val="24"/>
                <w:szCs w:val="24"/>
              </w:rPr>
              <m:t>)</m:t>
            </m:r>
          </m:e>
        </m:func>
        <m:r>
          <w:rPr>
            <w:rFonts w:ascii="Cambria Math" w:eastAsia="Calibri" w:hAnsi="Cambria Math" w:cs="Times New Roman"/>
            <w:sz w:val="24"/>
            <w:szCs w:val="24"/>
          </w:rPr>
          <m:t>=ln</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q</m:t>
            </m:r>
          </m:e>
          <m:sub>
            <m:r>
              <w:rPr>
                <w:rFonts w:ascii="Cambria Math" w:eastAsia="Calibri" w:hAnsi="Cambria Math" w:cs="Times New Roman"/>
                <w:sz w:val="24"/>
                <w:szCs w:val="24"/>
              </w:rPr>
              <m:t>e</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1</m:t>
            </m:r>
          </m:sub>
        </m:sSub>
        <m:r>
          <w:rPr>
            <w:rFonts w:ascii="Cambria Math" w:eastAsia="Calibri" w:hAnsi="Cambria Math" w:cs="Times New Roman"/>
            <w:sz w:val="24"/>
            <w:szCs w:val="24"/>
          </w:rPr>
          <m:t>t</m:t>
        </m:r>
      </m:oMath>
      <w:r w:rsidRPr="002066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206630">
        <w:rPr>
          <w:rFonts w:ascii="Times New Roman" w:eastAsia="Times New Roman" w:hAnsi="Times New Roman" w:cs="Times New Roman"/>
          <w:sz w:val="24"/>
          <w:szCs w:val="24"/>
        </w:rPr>
        <w:t>)</w:t>
      </w:r>
    </w:p>
    <w:p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 xml:space="preserve">Where, </w:t>
      </w:r>
      <w:proofErr w:type="spellStart"/>
      <w:r w:rsidRPr="00206630">
        <w:rPr>
          <w:rFonts w:ascii="Times New Roman" w:eastAsia="Calibri" w:hAnsi="Times New Roman" w:cs="Times New Roman"/>
          <w:sz w:val="24"/>
          <w:szCs w:val="24"/>
        </w:rPr>
        <w:t>q</w:t>
      </w:r>
      <w:r w:rsidRPr="00206630">
        <w:rPr>
          <w:rFonts w:ascii="Times New Roman" w:eastAsia="Calibri" w:hAnsi="Times New Roman" w:cs="Times New Roman"/>
          <w:sz w:val="24"/>
          <w:szCs w:val="24"/>
          <w:vertAlign w:val="subscript"/>
        </w:rPr>
        <w:t>t</w:t>
      </w:r>
      <w:proofErr w:type="spellEnd"/>
      <w:r w:rsidRPr="00206630">
        <w:rPr>
          <w:rFonts w:ascii="Times New Roman" w:eastAsia="Calibri" w:hAnsi="Times New Roman" w:cs="Times New Roman"/>
          <w:sz w:val="24"/>
          <w:szCs w:val="24"/>
        </w:rPr>
        <w:t xml:space="preserve"> is the amount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adsorbed (mg/g) at any time t, </w:t>
      </w:r>
      <w:proofErr w:type="spellStart"/>
      <w:r w:rsidRPr="00206630">
        <w:rPr>
          <w:rFonts w:ascii="Times New Roman" w:eastAsia="Calibri" w:hAnsi="Times New Roman" w:cs="Times New Roman"/>
          <w:sz w:val="24"/>
          <w:szCs w:val="24"/>
        </w:rPr>
        <w:t>q</w:t>
      </w:r>
      <w:r w:rsidRPr="00206630">
        <w:rPr>
          <w:rFonts w:ascii="Times New Roman" w:eastAsia="Calibri" w:hAnsi="Times New Roman" w:cs="Times New Roman"/>
          <w:sz w:val="24"/>
          <w:szCs w:val="24"/>
          <w:vertAlign w:val="subscript"/>
        </w:rPr>
        <w:t>e</w:t>
      </w:r>
      <w:proofErr w:type="spellEnd"/>
      <w:r w:rsidRPr="00206630">
        <w:rPr>
          <w:rFonts w:ascii="Times New Roman" w:eastAsia="Calibri" w:hAnsi="Times New Roman" w:cs="Times New Roman"/>
          <w:sz w:val="24"/>
          <w:szCs w:val="24"/>
        </w:rPr>
        <w:t xml:space="preserve"> is the amount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adsorbed (mg/g) at equilibrium, and k</w:t>
      </w:r>
      <w:r w:rsidRPr="00206630">
        <w:rPr>
          <w:rFonts w:ascii="Times New Roman" w:eastAsia="Calibri" w:hAnsi="Times New Roman" w:cs="Times New Roman"/>
          <w:sz w:val="24"/>
          <w:szCs w:val="24"/>
          <w:vertAlign w:val="subscript"/>
        </w:rPr>
        <w:t>1</w:t>
      </w:r>
      <w:r w:rsidRPr="00206630">
        <w:rPr>
          <w:rFonts w:ascii="Times New Roman" w:eastAsia="Calibri" w:hAnsi="Times New Roman" w:cs="Times New Roman"/>
          <w:sz w:val="24"/>
          <w:szCs w:val="24"/>
        </w:rPr>
        <w:t xml:space="preserve"> is the rate constant.</w:t>
      </w:r>
    </w:p>
    <w:p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The value of k</w:t>
      </w:r>
      <w:r w:rsidRPr="00206630">
        <w:rPr>
          <w:rFonts w:ascii="Times New Roman" w:eastAsia="Calibri" w:hAnsi="Times New Roman" w:cs="Times New Roman"/>
          <w:sz w:val="24"/>
          <w:szCs w:val="24"/>
          <w:vertAlign w:val="subscript"/>
        </w:rPr>
        <w:t xml:space="preserve">1 </w:t>
      </w:r>
      <w:r w:rsidRPr="00206630">
        <w:rPr>
          <w:rFonts w:ascii="Times New Roman" w:eastAsia="Calibri" w:hAnsi="Times New Roman" w:cs="Times New Roman"/>
          <w:sz w:val="24"/>
          <w:szCs w:val="24"/>
        </w:rPr>
        <w:t xml:space="preserve">can be evaluated from the intercept and slope of the linear plot of </w:t>
      </w:r>
      <w:proofErr w:type="gramStart"/>
      <w:r w:rsidRPr="00206630">
        <w:rPr>
          <w:rFonts w:ascii="Times New Roman" w:eastAsia="Calibri" w:hAnsi="Times New Roman" w:cs="Times New Roman"/>
          <w:sz w:val="24"/>
          <w:szCs w:val="24"/>
        </w:rPr>
        <w:t>ln(</w:t>
      </w:r>
      <w:proofErr w:type="spellStart"/>
      <w:proofErr w:type="gramEnd"/>
      <w:r w:rsidRPr="00206630">
        <w:rPr>
          <w:rFonts w:ascii="Times New Roman" w:eastAsia="Calibri" w:hAnsi="Times New Roman" w:cs="Times New Roman"/>
          <w:sz w:val="24"/>
          <w:szCs w:val="24"/>
        </w:rPr>
        <w:t>q</w:t>
      </w:r>
      <w:r w:rsidRPr="00206630">
        <w:rPr>
          <w:rFonts w:ascii="Times New Roman" w:eastAsia="Calibri" w:hAnsi="Times New Roman" w:cs="Times New Roman"/>
          <w:sz w:val="24"/>
          <w:szCs w:val="24"/>
          <w:vertAlign w:val="subscript"/>
        </w:rPr>
        <w:t>e</w:t>
      </w:r>
      <w:r w:rsidRPr="00206630">
        <w:rPr>
          <w:rFonts w:ascii="Times New Roman" w:eastAsia="Calibri" w:hAnsi="Times New Roman" w:cs="Times New Roman"/>
          <w:sz w:val="24"/>
          <w:szCs w:val="24"/>
        </w:rPr>
        <w:t>-q</w:t>
      </w:r>
      <w:r w:rsidRPr="00206630">
        <w:rPr>
          <w:rFonts w:ascii="Times New Roman" w:eastAsia="Calibri" w:hAnsi="Times New Roman" w:cs="Times New Roman"/>
          <w:sz w:val="24"/>
          <w:szCs w:val="24"/>
          <w:vertAlign w:val="subscript"/>
        </w:rPr>
        <w:t>t</w:t>
      </w:r>
      <w:proofErr w:type="spellEnd"/>
      <w:r w:rsidRPr="00206630">
        <w:rPr>
          <w:rFonts w:ascii="Times New Roman" w:eastAsia="Calibri" w:hAnsi="Times New Roman" w:cs="Times New Roman"/>
          <w:sz w:val="24"/>
          <w:szCs w:val="24"/>
        </w:rPr>
        <w:t xml:space="preserve">) against time t as shown in Fig. </w:t>
      </w:r>
      <w:r>
        <w:rPr>
          <w:rFonts w:ascii="Times New Roman" w:eastAsia="Calibri" w:hAnsi="Times New Roman" w:cs="Times New Roman"/>
          <w:sz w:val="24"/>
          <w:szCs w:val="24"/>
        </w:rPr>
        <w:t>2</w:t>
      </w:r>
      <w:r w:rsidRPr="00206630">
        <w:rPr>
          <w:rFonts w:ascii="Times New Roman" w:eastAsia="Calibri" w:hAnsi="Times New Roman" w:cs="Times New Roman"/>
          <w:sz w:val="24"/>
          <w:szCs w:val="24"/>
        </w:rPr>
        <w:t>. From the plot the value of correlation coefficient R</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was found to be </w:t>
      </w:r>
      <w:r w:rsidRPr="00206630">
        <w:rPr>
          <w:rFonts w:ascii="Times New Roman" w:eastAsia="Calibri" w:hAnsi="Times New Roman" w:cs="Times New Roman"/>
          <w:sz w:val="24"/>
          <w:szCs w:val="24"/>
        </w:rPr>
        <w:lastRenderedPageBreak/>
        <w:t>0.687 and 0.824 for biomass and activated carbon, respectively. The value of R</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obtained suggests that the adsorption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ions on biomass does not follow the pseudo-first-order kinetics.</w:t>
      </w:r>
    </w:p>
    <w:p w:rsidR="00FF45E1" w:rsidRPr="00206630" w:rsidRDefault="003401FB" w:rsidP="00FF45E1">
      <w:pPr>
        <w:spacing w:after="200" w:line="36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noProof/>
          <w:sz w:val="24"/>
          <w:szCs w:val="24"/>
        </w:rPr>
        <w:drawing>
          <wp:inline distT="0" distB="0" distL="0" distR="0">
            <wp:extent cx="5943600" cy="288650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9 Pseudo-first-order kinetic plo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5913" cy="2887624"/>
                    </a:xfrm>
                    <a:prstGeom prst="rect">
                      <a:avLst/>
                    </a:prstGeom>
                  </pic:spPr>
                </pic:pic>
              </a:graphicData>
            </a:graphic>
          </wp:inline>
        </w:drawing>
      </w:r>
      <w:bookmarkEnd w:id="0"/>
    </w:p>
    <w:p w:rsidR="00FF45E1" w:rsidRPr="00206630" w:rsidRDefault="00FF45E1" w:rsidP="00FF45E1">
      <w:pPr>
        <w:spacing w:after="200" w:line="360" w:lineRule="auto"/>
        <w:jc w:val="both"/>
        <w:rPr>
          <w:rFonts w:ascii="Times New Roman" w:eastAsia="Calibri" w:hAnsi="Times New Roman" w:cs="Times New Roman"/>
          <w:sz w:val="24"/>
          <w:szCs w:val="24"/>
        </w:rPr>
      </w:pPr>
      <w:r w:rsidRPr="00206630">
        <w:rPr>
          <w:rFonts w:ascii="Times New Roman" w:eastAsia="Calibri" w:hAnsi="Times New Roman" w:cs="Times New Roman"/>
          <w:sz w:val="24"/>
          <w:szCs w:val="24"/>
        </w:rPr>
        <w:t xml:space="preserve">Fig. </w:t>
      </w:r>
      <w:r>
        <w:rPr>
          <w:rFonts w:ascii="Times New Roman" w:eastAsia="Calibri" w:hAnsi="Times New Roman" w:cs="Times New Roman"/>
          <w:sz w:val="24"/>
          <w:szCs w:val="24"/>
        </w:rPr>
        <w:t>3</w:t>
      </w:r>
      <w:r w:rsidRPr="00206630">
        <w:rPr>
          <w:rFonts w:ascii="Times New Roman" w:eastAsia="Calibri" w:hAnsi="Times New Roman" w:cs="Times New Roman"/>
          <w:sz w:val="24"/>
          <w:szCs w:val="24"/>
        </w:rPr>
        <w:t xml:space="preserve"> Pseudo-first-order kinetic plot for the biosorption of Pb</w:t>
      </w:r>
      <w:r w:rsidRPr="00206630">
        <w:rPr>
          <w:rFonts w:ascii="Times New Roman" w:eastAsia="Calibri" w:hAnsi="Times New Roman" w:cs="Times New Roman"/>
          <w:sz w:val="24"/>
          <w:szCs w:val="24"/>
          <w:vertAlign w:val="superscript"/>
        </w:rPr>
        <w:t>+2</w:t>
      </w:r>
      <w:r w:rsidRPr="00206630">
        <w:rPr>
          <w:rFonts w:ascii="Times New Roman" w:eastAsia="Calibri" w:hAnsi="Times New Roman" w:cs="Times New Roman"/>
          <w:sz w:val="24"/>
          <w:szCs w:val="24"/>
        </w:rPr>
        <w:t xml:space="preserve"> on R.B seeds and ACs </w:t>
      </w:r>
    </w:p>
    <w:p w:rsidR="008E25CF" w:rsidRPr="008E25CF" w:rsidRDefault="008E25CF" w:rsidP="00FF45E1">
      <w:pPr>
        <w:tabs>
          <w:tab w:val="center" w:pos="720"/>
          <w:tab w:val="left" w:pos="2880"/>
          <w:tab w:val="center" w:pos="3600"/>
          <w:tab w:val="left" w:pos="5760"/>
          <w:tab w:val="center" w:pos="6480"/>
        </w:tabs>
        <w:spacing w:after="200" w:line="360" w:lineRule="auto"/>
        <w:jc w:val="both"/>
        <w:rPr>
          <w:rFonts w:ascii="Times New Roman" w:eastAsia="Calibri" w:hAnsi="Times New Roman" w:cs="Times New Roman"/>
          <w:b/>
          <w:sz w:val="24"/>
          <w:szCs w:val="24"/>
        </w:rPr>
      </w:pPr>
      <w:r w:rsidRPr="008E25CF">
        <w:rPr>
          <w:rFonts w:ascii="Times New Roman" w:eastAsia="Calibri" w:hAnsi="Times New Roman" w:cs="Times New Roman"/>
          <w:b/>
          <w:sz w:val="24"/>
          <w:szCs w:val="24"/>
        </w:rPr>
        <w:t>Thermodynamics of Pb</w:t>
      </w:r>
      <w:r w:rsidRPr="008E25CF">
        <w:rPr>
          <w:rFonts w:ascii="Times New Roman" w:eastAsia="Calibri" w:hAnsi="Times New Roman" w:cs="Times New Roman"/>
          <w:b/>
          <w:sz w:val="24"/>
          <w:szCs w:val="24"/>
          <w:vertAlign w:val="superscript"/>
        </w:rPr>
        <w:t>+2</w:t>
      </w:r>
      <w:r w:rsidR="00937322">
        <w:rPr>
          <w:rFonts w:ascii="Times New Roman" w:eastAsia="Calibri" w:hAnsi="Times New Roman" w:cs="Times New Roman"/>
          <w:b/>
          <w:sz w:val="24"/>
          <w:szCs w:val="24"/>
          <w:vertAlign w:val="superscript"/>
        </w:rPr>
        <w:t xml:space="preserve"> </w:t>
      </w:r>
      <w:r w:rsidRPr="008E25CF">
        <w:rPr>
          <w:rFonts w:ascii="Times New Roman" w:eastAsia="Calibri" w:hAnsi="Times New Roman" w:cs="Times New Roman"/>
          <w:b/>
          <w:sz w:val="24"/>
          <w:szCs w:val="24"/>
        </w:rPr>
        <w:t>Adsorption</w:t>
      </w:r>
    </w:p>
    <w:p w:rsidR="008E25CF" w:rsidRPr="008E25CF" w:rsidRDefault="008E25CF" w:rsidP="008E25CF">
      <w:pPr>
        <w:spacing w:after="200" w:line="360" w:lineRule="auto"/>
        <w:jc w:val="both"/>
        <w:rPr>
          <w:rFonts w:ascii="Times New Roman" w:eastAsia="Calibri" w:hAnsi="Times New Roman" w:cs="Times New Roman"/>
          <w:sz w:val="24"/>
          <w:szCs w:val="24"/>
        </w:rPr>
      </w:pPr>
      <w:r w:rsidRPr="008E25CF">
        <w:rPr>
          <w:rFonts w:ascii="Times New Roman" w:eastAsia="Calibri" w:hAnsi="Times New Roman" w:cs="Times New Roman"/>
          <w:sz w:val="24"/>
          <w:szCs w:val="24"/>
        </w:rPr>
        <w:t>The nature of the adsorption of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xml:space="preserve"> on the biomass and ACs was estimated by varying different thermodynamic parameters such as free energy (ΔG</w:t>
      </w:r>
      <w:r w:rsidRPr="008E25CF">
        <w:rPr>
          <w:rFonts w:ascii="Times New Roman" w:eastAsia="Calibri" w:hAnsi="Times New Roman" w:cs="Times New Roman"/>
          <w:sz w:val="24"/>
          <w:szCs w:val="24"/>
          <w:vertAlign w:val="superscript"/>
        </w:rPr>
        <w:t>0</w:t>
      </w:r>
      <w:r w:rsidRPr="008E25CF">
        <w:rPr>
          <w:rFonts w:ascii="Times New Roman" w:eastAsia="Calibri" w:hAnsi="Times New Roman" w:cs="Times New Roman"/>
          <w:sz w:val="24"/>
          <w:szCs w:val="24"/>
        </w:rPr>
        <w:t>) and K</w:t>
      </w:r>
      <w:r w:rsidRPr="008E25CF">
        <w:rPr>
          <w:rFonts w:ascii="Times New Roman" w:eastAsia="Calibri" w:hAnsi="Times New Roman" w:cs="Times New Roman"/>
          <w:sz w:val="24"/>
          <w:szCs w:val="24"/>
          <w:vertAlign w:val="subscript"/>
        </w:rPr>
        <w:t>0</w:t>
      </w:r>
      <w:r w:rsidRPr="008E25CF">
        <w:rPr>
          <w:rFonts w:ascii="Times New Roman" w:eastAsia="Calibri" w:hAnsi="Times New Roman" w:cs="Times New Roman"/>
          <w:sz w:val="24"/>
          <w:szCs w:val="24"/>
        </w:rPr>
        <w:t xml:space="preserve"> by the following equation [</w:t>
      </w:r>
      <w:r w:rsidR="00A7495D" w:rsidRPr="00A7495D">
        <w:rPr>
          <w:rFonts w:ascii="Times New Roman" w:eastAsia="Calibri" w:hAnsi="Times New Roman" w:cs="Times New Roman"/>
          <w:sz w:val="24"/>
          <w:szCs w:val="24"/>
        </w:rPr>
        <w:t>4</w:t>
      </w:r>
      <w:r w:rsidRPr="00A7495D">
        <w:rPr>
          <w:rFonts w:ascii="Times New Roman" w:eastAsia="Calibri" w:hAnsi="Times New Roman" w:cs="Times New Roman"/>
          <w:sz w:val="24"/>
          <w:szCs w:val="24"/>
        </w:rPr>
        <w:t>]</w:t>
      </w:r>
      <w:r w:rsidRPr="008E25CF">
        <w:rPr>
          <w:rFonts w:ascii="Times New Roman" w:eastAsia="Calibri" w:hAnsi="Times New Roman" w:cs="Times New Roman"/>
          <w:sz w:val="24"/>
          <w:szCs w:val="24"/>
        </w:rPr>
        <w:t>.</w:t>
      </w:r>
    </w:p>
    <w:p w:rsidR="008E25CF" w:rsidRPr="008E25CF" w:rsidRDefault="008E25CF" w:rsidP="008E25CF">
      <w:pPr>
        <w:spacing w:after="200" w:line="360" w:lineRule="auto"/>
        <w:jc w:val="both"/>
        <w:rPr>
          <w:rFonts w:ascii="Times New Roman" w:eastAsia="Calibri" w:hAnsi="Times New Roman" w:cs="Times New Roman"/>
          <w:sz w:val="24"/>
          <w:szCs w:val="24"/>
        </w:rPr>
      </w:pPr>
      <w:r w:rsidRPr="008E25CF">
        <w:rPr>
          <w:rFonts w:ascii="Times New Roman" w:eastAsia="Calibri" w:hAnsi="Times New Roman" w:cs="Times New Roman"/>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∆G</m:t>
            </m:r>
          </m:e>
          <m:sup>
            <m:r>
              <w:rPr>
                <w:rFonts w:ascii="Cambria Math" w:eastAsia="Calibri" w:hAnsi="Cambria Math" w:cs="Times New Roman"/>
                <w:sz w:val="24"/>
                <w:szCs w:val="24"/>
              </w:rPr>
              <m:t>0</m:t>
            </m:r>
          </m:sup>
        </m:sSup>
        <m:r>
          <w:rPr>
            <w:rFonts w:ascii="Cambria Math" w:eastAsia="Calibri" w:hAnsi="Cambria Math" w:cs="Times New Roman"/>
            <w:sz w:val="24"/>
            <w:szCs w:val="24"/>
          </w:rPr>
          <m:t>=-RTln</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0</m:t>
            </m:r>
          </m:sub>
        </m:sSub>
      </m:oMath>
      <w:r w:rsidRPr="008E25CF">
        <w:rPr>
          <w:rFonts w:ascii="Times New Roman" w:eastAsia="Calibri" w:hAnsi="Times New Roman" w:cs="Times New Roman"/>
          <w:sz w:val="24"/>
          <w:szCs w:val="24"/>
        </w:rPr>
        <w:t xml:space="preserve">                                                                                                         (</w:t>
      </w:r>
      <w:r w:rsidR="001A2255">
        <w:rPr>
          <w:rFonts w:ascii="Times New Roman" w:eastAsia="Calibri" w:hAnsi="Times New Roman" w:cs="Times New Roman"/>
          <w:sz w:val="24"/>
          <w:szCs w:val="24"/>
        </w:rPr>
        <w:t>2</w:t>
      </w:r>
      <w:r w:rsidRPr="008E25CF">
        <w:rPr>
          <w:rFonts w:ascii="Times New Roman" w:eastAsia="Calibri" w:hAnsi="Times New Roman" w:cs="Times New Roman"/>
          <w:sz w:val="24"/>
          <w:szCs w:val="24"/>
        </w:rPr>
        <w:t>)</w:t>
      </w:r>
    </w:p>
    <w:p w:rsidR="008E25CF" w:rsidRPr="008E25CF" w:rsidRDefault="008E25CF" w:rsidP="008E25CF">
      <w:pPr>
        <w:spacing w:after="200" w:line="360" w:lineRule="auto"/>
        <w:ind w:firstLine="720"/>
        <w:jc w:val="both"/>
        <w:rPr>
          <w:rFonts w:ascii="Times New Roman" w:eastAsia="Calibri" w:hAnsi="Times New Roman" w:cs="Times New Roman"/>
          <w:sz w:val="24"/>
          <w:szCs w:val="24"/>
        </w:rPr>
      </w:pPr>
      <w:r w:rsidRPr="008E25CF">
        <w:rPr>
          <w:rFonts w:ascii="Times New Roman" w:eastAsia="Calibri" w:hAnsi="Times New Roman" w:cs="Times New Roman"/>
          <w:sz w:val="24"/>
          <w:szCs w:val="24"/>
        </w:rPr>
        <w:t xml:space="preserve">Where </w:t>
      </w:r>
      <w:proofErr w:type="spellStart"/>
      <w:proofErr w:type="gramStart"/>
      <w:r w:rsidRPr="008E25CF">
        <w:rPr>
          <w:rFonts w:ascii="Times New Roman" w:eastAsia="Calibri" w:hAnsi="Times New Roman" w:cs="Times New Roman"/>
          <w:sz w:val="24"/>
          <w:szCs w:val="24"/>
        </w:rPr>
        <w:t>K</w:t>
      </w:r>
      <w:r w:rsidRPr="008E25CF">
        <w:rPr>
          <w:rFonts w:ascii="Times New Roman" w:eastAsia="Calibri" w:hAnsi="Times New Roman" w:cs="Times New Roman"/>
          <w:sz w:val="24"/>
          <w:szCs w:val="24"/>
          <w:vertAlign w:val="subscript"/>
        </w:rPr>
        <w:t>o</w:t>
      </w:r>
      <w:proofErr w:type="spellEnd"/>
      <w:proofErr w:type="gramEnd"/>
      <w:r w:rsidRPr="008E25CF">
        <w:rPr>
          <w:rFonts w:ascii="Times New Roman" w:eastAsia="Calibri" w:hAnsi="Times New Roman" w:cs="Times New Roman"/>
          <w:sz w:val="24"/>
          <w:szCs w:val="24"/>
        </w:rPr>
        <w:t xml:space="preserve"> is the equilibrium constant and determined as:</w:t>
      </w:r>
    </w:p>
    <w:p w:rsidR="008E25CF" w:rsidRPr="008E25CF" w:rsidRDefault="008E25CF" w:rsidP="008E25CF">
      <w:pPr>
        <w:spacing w:after="200" w:line="360" w:lineRule="auto"/>
        <w:jc w:val="both"/>
        <w:rPr>
          <w:rFonts w:ascii="Times New Roman" w:eastAsia="Calibri" w:hAnsi="Times New Roman" w:cs="Times New Roman"/>
          <w:sz w:val="24"/>
          <w:szCs w:val="24"/>
        </w:rPr>
      </w:pPr>
      <w:r w:rsidRPr="008E25CF">
        <w:rPr>
          <w:rFonts w:ascii="Times New Roman" w:eastAsia="Calibri" w:hAnsi="Times New Roman" w:cs="Times New Roman"/>
          <w:sz w:val="24"/>
          <w:szCs w:val="24"/>
        </w:rPr>
        <w:t xml:space="preserve">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0</m:t>
            </m:r>
          </m:sub>
        </m:sSub>
        <m:r>
          <w:rPr>
            <w:rFonts w:ascii="Cambria Math" w:eastAsia="Calibri" w:hAnsi="Cambria Math" w:cs="Times New Roman"/>
            <w:sz w:val="24"/>
            <w:szCs w:val="24"/>
          </w:rPr>
          <m:t xml:space="preserve">= </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s</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e</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υ</m:t>
                </m:r>
              </m:e>
              <m:sub>
                <m:r>
                  <w:rPr>
                    <w:rFonts w:ascii="Cambria Math" w:eastAsia="Calibri" w:hAnsi="Cambria Math" w:cs="Times New Roman"/>
                    <w:sz w:val="24"/>
                    <w:szCs w:val="24"/>
                  </w:rPr>
                  <m:t>s</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υ</m:t>
                </m:r>
              </m:e>
              <m:sub>
                <m:r>
                  <w:rPr>
                    <w:rFonts w:ascii="Cambria Math" w:eastAsia="Calibri" w:hAnsi="Cambria Math" w:cs="Times New Roman"/>
                    <w:sz w:val="24"/>
                    <w:szCs w:val="24"/>
                  </w:rPr>
                  <m:t>e</m:t>
                </m:r>
              </m:sub>
            </m:sSub>
          </m:den>
        </m:f>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s</m:t>
                </m:r>
              </m:sub>
            </m:sSub>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e</m:t>
                </m:r>
              </m:sub>
            </m:sSub>
          </m:den>
        </m:f>
      </m:oMath>
      <w:r w:rsidRPr="008E25CF">
        <w:rPr>
          <w:rFonts w:ascii="Times New Roman" w:eastAsia="Calibri" w:hAnsi="Times New Roman" w:cs="Times New Roman"/>
          <w:sz w:val="24"/>
          <w:szCs w:val="24"/>
        </w:rPr>
        <w:t xml:space="preserve">                                                                                                            (</w:t>
      </w:r>
      <w:r w:rsidR="001A2255">
        <w:rPr>
          <w:rFonts w:ascii="Times New Roman" w:eastAsia="Calibri" w:hAnsi="Times New Roman" w:cs="Times New Roman"/>
          <w:sz w:val="24"/>
          <w:szCs w:val="24"/>
        </w:rPr>
        <w:t>3</w:t>
      </w:r>
      <w:r w:rsidRPr="008E25CF">
        <w:rPr>
          <w:rFonts w:ascii="Times New Roman" w:eastAsia="Calibri" w:hAnsi="Times New Roman" w:cs="Times New Roman"/>
          <w:sz w:val="24"/>
          <w:szCs w:val="24"/>
        </w:rPr>
        <w:t>)</w:t>
      </w:r>
    </w:p>
    <w:p w:rsidR="008E25CF" w:rsidRPr="008E25CF" w:rsidRDefault="008E25CF" w:rsidP="008E25CF">
      <w:pPr>
        <w:spacing w:after="200" w:line="360" w:lineRule="auto"/>
        <w:jc w:val="both"/>
        <w:rPr>
          <w:rFonts w:ascii="Times New Roman" w:eastAsia="Calibri" w:hAnsi="Times New Roman" w:cs="Times New Roman"/>
          <w:sz w:val="24"/>
          <w:szCs w:val="24"/>
          <w:vertAlign w:val="superscript"/>
        </w:rPr>
      </w:pPr>
      <w:r w:rsidRPr="008E25CF">
        <w:rPr>
          <w:rFonts w:ascii="Times New Roman" w:eastAsia="Calibri" w:hAnsi="Times New Roman" w:cs="Times New Roman"/>
          <w:sz w:val="24"/>
          <w:szCs w:val="24"/>
        </w:rPr>
        <w:t>Where, C</w:t>
      </w:r>
      <w:r w:rsidRPr="008E25CF">
        <w:rPr>
          <w:rFonts w:ascii="Times New Roman" w:eastAsia="Calibri" w:hAnsi="Times New Roman" w:cs="Times New Roman"/>
          <w:sz w:val="24"/>
          <w:szCs w:val="24"/>
          <w:vertAlign w:val="subscript"/>
        </w:rPr>
        <w:t xml:space="preserve">s </w:t>
      </w:r>
      <w:r w:rsidRPr="008E25CF">
        <w:rPr>
          <w:rFonts w:ascii="Times New Roman" w:eastAsia="Calibri" w:hAnsi="Times New Roman" w:cs="Times New Roman"/>
          <w:sz w:val="24"/>
          <w:szCs w:val="24"/>
        </w:rPr>
        <w:t>represents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amount adsorbed per mass of Adsorbent (</w:t>
      </w:r>
      <w:proofErr w:type="spellStart"/>
      <w:r w:rsidRPr="008E25CF">
        <w:rPr>
          <w:rFonts w:ascii="Times New Roman" w:eastAsia="Calibri" w:hAnsi="Times New Roman" w:cs="Times New Roman"/>
          <w:sz w:val="24"/>
          <w:szCs w:val="24"/>
        </w:rPr>
        <w:t>mol</w:t>
      </w:r>
      <w:proofErr w:type="spellEnd"/>
      <w:r w:rsidRPr="008E25CF">
        <w:rPr>
          <w:rFonts w:ascii="Times New Roman" w:eastAsia="Calibri" w:hAnsi="Times New Roman" w:cs="Times New Roman"/>
          <w:sz w:val="24"/>
          <w:szCs w:val="24"/>
        </w:rPr>
        <w:t>/g) and C</w:t>
      </w:r>
      <w:r w:rsidRPr="008E25CF">
        <w:rPr>
          <w:rFonts w:ascii="Times New Roman" w:eastAsia="Calibri" w:hAnsi="Times New Roman" w:cs="Times New Roman"/>
          <w:sz w:val="24"/>
          <w:szCs w:val="24"/>
          <w:vertAlign w:val="subscript"/>
        </w:rPr>
        <w:t xml:space="preserve">e </w:t>
      </w:r>
      <w:r w:rsidRPr="008E25CF">
        <w:rPr>
          <w:rFonts w:ascii="Times New Roman" w:eastAsia="Calibri" w:hAnsi="Times New Roman" w:cs="Times New Roman"/>
          <w:sz w:val="24"/>
          <w:szCs w:val="24"/>
        </w:rPr>
        <w:t>shows the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xml:space="preserve"> concentration in solution at equilibrium (</w:t>
      </w:r>
      <w:proofErr w:type="spellStart"/>
      <w:r w:rsidRPr="008E25CF">
        <w:rPr>
          <w:rFonts w:ascii="Times New Roman" w:eastAsia="Calibri" w:hAnsi="Times New Roman" w:cs="Times New Roman"/>
          <w:sz w:val="24"/>
          <w:szCs w:val="24"/>
        </w:rPr>
        <w:t>mol</w:t>
      </w:r>
      <w:proofErr w:type="spellEnd"/>
      <w:r w:rsidRPr="008E25CF">
        <w:rPr>
          <w:rFonts w:ascii="Times New Roman" w:eastAsia="Calibri" w:hAnsi="Times New Roman" w:cs="Times New Roman"/>
          <w:sz w:val="24"/>
          <w:szCs w:val="24"/>
        </w:rPr>
        <w:t>/ml), a</w:t>
      </w:r>
      <w:r w:rsidRPr="008E25CF">
        <w:rPr>
          <w:rFonts w:ascii="Times New Roman" w:eastAsia="Calibri" w:hAnsi="Times New Roman" w:cs="Times New Roman"/>
          <w:sz w:val="24"/>
          <w:szCs w:val="24"/>
          <w:vertAlign w:val="subscript"/>
        </w:rPr>
        <w:t>s</w:t>
      </w:r>
      <w:r w:rsidRPr="008E25CF">
        <w:rPr>
          <w:rFonts w:ascii="Times New Roman" w:eastAsia="Calibri" w:hAnsi="Times New Roman" w:cs="Times New Roman"/>
          <w:sz w:val="24"/>
          <w:szCs w:val="24"/>
        </w:rPr>
        <w:t xml:space="preserve"> is the activity of adsorbed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a</w:t>
      </w:r>
      <w:r w:rsidRPr="008E25CF">
        <w:rPr>
          <w:rFonts w:ascii="Times New Roman" w:eastAsia="Calibri" w:hAnsi="Times New Roman" w:cs="Times New Roman"/>
          <w:sz w:val="24"/>
          <w:szCs w:val="24"/>
          <w:vertAlign w:val="subscript"/>
        </w:rPr>
        <w:t>e</w:t>
      </w:r>
      <w:r w:rsidRPr="008E25CF">
        <w:rPr>
          <w:rFonts w:ascii="Times New Roman" w:eastAsia="Calibri" w:hAnsi="Times New Roman" w:cs="Times New Roman"/>
          <w:sz w:val="24"/>
          <w:szCs w:val="24"/>
        </w:rPr>
        <w:t xml:space="preserve"> is the activity of the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xml:space="preserve"> in solution at equilibrium, </w:t>
      </w:r>
      <w:proofErr w:type="spellStart"/>
      <w:r w:rsidRPr="008E25CF">
        <w:rPr>
          <w:rFonts w:ascii="Times New Roman" w:eastAsia="Calibri" w:hAnsi="Times New Roman" w:cs="Times New Roman"/>
          <w:sz w:val="24"/>
          <w:szCs w:val="24"/>
        </w:rPr>
        <w:t>υ</w:t>
      </w:r>
      <w:r w:rsidRPr="008E25CF">
        <w:rPr>
          <w:rFonts w:ascii="Times New Roman" w:eastAsia="Calibri" w:hAnsi="Times New Roman" w:cs="Times New Roman"/>
          <w:sz w:val="24"/>
          <w:szCs w:val="24"/>
          <w:vertAlign w:val="subscript"/>
        </w:rPr>
        <w:t>s</w:t>
      </w:r>
      <w:proofErr w:type="spellEnd"/>
      <w:r w:rsidRPr="008E25CF">
        <w:rPr>
          <w:rFonts w:ascii="Times New Roman" w:eastAsia="Calibri" w:hAnsi="Times New Roman" w:cs="Times New Roman"/>
          <w:sz w:val="24"/>
          <w:szCs w:val="24"/>
        </w:rPr>
        <w:t xml:space="preserve"> is the activity coefficient of the adsorbed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xml:space="preserve"> and </w:t>
      </w:r>
      <w:proofErr w:type="spellStart"/>
      <w:r w:rsidRPr="008E25CF">
        <w:rPr>
          <w:rFonts w:ascii="Times New Roman" w:eastAsia="Calibri" w:hAnsi="Times New Roman" w:cs="Times New Roman"/>
          <w:sz w:val="24"/>
          <w:szCs w:val="24"/>
        </w:rPr>
        <w:t>υ</w:t>
      </w:r>
      <w:r w:rsidRPr="008E25CF">
        <w:rPr>
          <w:rFonts w:ascii="Times New Roman" w:eastAsia="Calibri" w:hAnsi="Times New Roman" w:cs="Times New Roman"/>
          <w:sz w:val="24"/>
          <w:szCs w:val="24"/>
          <w:vertAlign w:val="subscript"/>
        </w:rPr>
        <w:t>e</w:t>
      </w:r>
      <w:proofErr w:type="spellEnd"/>
      <w:r w:rsidRPr="008E25CF">
        <w:rPr>
          <w:rFonts w:ascii="Times New Roman" w:eastAsia="Calibri" w:hAnsi="Times New Roman" w:cs="Times New Roman"/>
          <w:sz w:val="24"/>
          <w:szCs w:val="24"/>
        </w:rPr>
        <w:t xml:space="preserve"> is the activity coefficient of the Pb</w:t>
      </w:r>
      <w:r w:rsidRPr="008E25CF">
        <w:rPr>
          <w:rFonts w:ascii="Times New Roman" w:eastAsia="Calibri" w:hAnsi="Times New Roman" w:cs="Times New Roman"/>
          <w:sz w:val="24"/>
          <w:szCs w:val="24"/>
          <w:vertAlign w:val="superscript"/>
        </w:rPr>
        <w:t>+2</w:t>
      </w:r>
      <w:r w:rsidRPr="008E25CF">
        <w:rPr>
          <w:rFonts w:ascii="Times New Roman" w:eastAsia="Calibri" w:hAnsi="Times New Roman" w:cs="Times New Roman"/>
          <w:sz w:val="24"/>
          <w:szCs w:val="24"/>
        </w:rPr>
        <w:t xml:space="preserve"> in solution. The K</w:t>
      </w:r>
      <w:r w:rsidRPr="008E25CF">
        <w:rPr>
          <w:rFonts w:ascii="Times New Roman" w:eastAsia="Calibri" w:hAnsi="Times New Roman" w:cs="Times New Roman"/>
          <w:sz w:val="24"/>
          <w:szCs w:val="24"/>
          <w:vertAlign w:val="subscript"/>
        </w:rPr>
        <w:t>0</w:t>
      </w:r>
      <w:r w:rsidRPr="008E25CF">
        <w:rPr>
          <w:rFonts w:ascii="Times New Roman" w:eastAsia="Calibri" w:hAnsi="Times New Roman" w:cs="Times New Roman"/>
          <w:sz w:val="24"/>
          <w:szCs w:val="24"/>
        </w:rPr>
        <w:t xml:space="preserve"> values were used to determine ΔG</w:t>
      </w:r>
      <w:r w:rsidRPr="008E25CF">
        <w:rPr>
          <w:rFonts w:ascii="Times New Roman" w:eastAsia="Calibri" w:hAnsi="Times New Roman" w:cs="Times New Roman"/>
          <w:sz w:val="24"/>
          <w:szCs w:val="24"/>
          <w:vertAlign w:val="superscript"/>
        </w:rPr>
        <w:t>0</w:t>
      </w:r>
      <w:r w:rsidRPr="008E25CF">
        <w:rPr>
          <w:rFonts w:ascii="Times New Roman" w:eastAsia="Calibri" w:hAnsi="Times New Roman" w:cs="Times New Roman"/>
          <w:sz w:val="24"/>
          <w:szCs w:val="24"/>
        </w:rPr>
        <w:t>, ΔH</w:t>
      </w:r>
      <w:r w:rsidRPr="008E25CF">
        <w:rPr>
          <w:rFonts w:ascii="Times New Roman" w:eastAsia="Calibri" w:hAnsi="Times New Roman" w:cs="Times New Roman"/>
          <w:sz w:val="24"/>
          <w:szCs w:val="24"/>
          <w:vertAlign w:val="superscript"/>
        </w:rPr>
        <w:t>0</w:t>
      </w:r>
      <w:r w:rsidRPr="008E25CF">
        <w:rPr>
          <w:rFonts w:ascii="Times New Roman" w:eastAsia="Calibri" w:hAnsi="Times New Roman" w:cs="Times New Roman"/>
          <w:sz w:val="24"/>
          <w:szCs w:val="24"/>
        </w:rPr>
        <w:t xml:space="preserve"> and ΔS</w:t>
      </w:r>
      <w:r w:rsidRPr="008E25CF">
        <w:rPr>
          <w:rFonts w:ascii="Times New Roman" w:eastAsia="Calibri" w:hAnsi="Times New Roman" w:cs="Times New Roman"/>
          <w:sz w:val="24"/>
          <w:szCs w:val="24"/>
          <w:vertAlign w:val="superscript"/>
        </w:rPr>
        <w:t>0</w:t>
      </w:r>
      <w:r w:rsidRPr="008E25CF">
        <w:rPr>
          <w:rFonts w:ascii="Times New Roman" w:eastAsia="Calibri" w:hAnsi="Times New Roman" w:cs="Times New Roman"/>
          <w:sz w:val="24"/>
          <w:szCs w:val="24"/>
        </w:rPr>
        <w:t>.</w:t>
      </w:r>
    </w:p>
    <w:p w:rsidR="008E25CF" w:rsidRPr="008E25CF" w:rsidRDefault="008E25CF" w:rsidP="008E25CF">
      <w:pPr>
        <w:spacing w:after="200" w:line="360" w:lineRule="auto"/>
        <w:jc w:val="both"/>
        <w:rPr>
          <w:rFonts w:ascii="Times New Roman" w:eastAsia="Calibri" w:hAnsi="Times New Roman" w:cs="Times New Roman"/>
          <w:sz w:val="24"/>
          <w:szCs w:val="24"/>
        </w:rPr>
      </w:pPr>
      <w:r w:rsidRPr="008E25CF">
        <w:rPr>
          <w:rFonts w:ascii="Times New Roman" w:eastAsia="Calibri" w:hAnsi="Times New Roman" w:cs="Times New Roman"/>
          <w:sz w:val="24"/>
          <w:szCs w:val="24"/>
        </w:rPr>
        <w:lastRenderedPageBreak/>
        <w:t>The average standard enthalpy change (</w:t>
      </w:r>
      <w:proofErr w:type="spellStart"/>
      <w:r w:rsidRPr="008E25CF">
        <w:rPr>
          <w:rFonts w:ascii="Times New Roman" w:eastAsia="Calibri" w:hAnsi="Times New Roman" w:cs="Times New Roman"/>
          <w:sz w:val="24"/>
          <w:szCs w:val="24"/>
        </w:rPr>
        <w:t>ΔH</w:t>
      </w:r>
      <w:r w:rsidRPr="008E25CF">
        <w:rPr>
          <w:rFonts w:ascii="Times New Roman" w:eastAsia="Calibri" w:hAnsi="Times New Roman" w:cs="Times New Roman"/>
          <w:sz w:val="24"/>
          <w:szCs w:val="24"/>
          <w:vertAlign w:val="superscript"/>
        </w:rPr>
        <w:t>o</w:t>
      </w:r>
      <w:proofErr w:type="spellEnd"/>
      <w:r w:rsidRPr="008E25CF">
        <w:rPr>
          <w:rFonts w:ascii="Times New Roman" w:eastAsia="Calibri" w:hAnsi="Times New Roman" w:cs="Times New Roman"/>
          <w:sz w:val="24"/>
          <w:szCs w:val="24"/>
        </w:rPr>
        <w:t xml:space="preserve">) of the system was calculated by using </w:t>
      </w:r>
      <w:proofErr w:type="spellStart"/>
      <w:r w:rsidRPr="008E25CF">
        <w:rPr>
          <w:rFonts w:ascii="Times New Roman" w:eastAsia="Calibri" w:hAnsi="Times New Roman" w:cs="Times New Roman"/>
          <w:sz w:val="24"/>
          <w:szCs w:val="24"/>
        </w:rPr>
        <w:t>Van’t</w:t>
      </w:r>
      <w:proofErr w:type="spellEnd"/>
      <w:r w:rsidRPr="008E25CF">
        <w:rPr>
          <w:rFonts w:ascii="Times New Roman" w:eastAsia="Calibri" w:hAnsi="Times New Roman" w:cs="Times New Roman"/>
          <w:sz w:val="24"/>
          <w:szCs w:val="24"/>
        </w:rPr>
        <w:t xml:space="preserve"> Hoff equation:</w:t>
      </w:r>
    </w:p>
    <w:p w:rsidR="008E25CF" w:rsidRPr="008E25CF" w:rsidRDefault="008E25CF" w:rsidP="008E25CF">
      <w:pPr>
        <w:spacing w:after="200" w:line="360" w:lineRule="auto"/>
        <w:ind w:firstLine="720"/>
        <w:jc w:val="both"/>
        <w:rPr>
          <w:rFonts w:ascii="Times New Roman" w:eastAsia="Times New Roman" w:hAnsi="Times New Roman" w:cs="Times New Roman"/>
          <w:sz w:val="24"/>
          <w:szCs w:val="24"/>
        </w:rPr>
      </w:pPr>
      <m:oMath>
        <m:r>
          <w:rPr>
            <w:rFonts w:ascii="Cambria Math" w:eastAsia="Calibri" w:hAnsi="Cambria Math" w:cs="Times New Roman"/>
            <w:sz w:val="24"/>
            <w:szCs w:val="24"/>
          </w:rPr>
          <m:t>ln</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0</m:t>
            </m:r>
          </m:sub>
        </m:sSub>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2</m:t>
                </m:r>
              </m:sub>
            </m:sSub>
          </m:e>
        </m:d>
        <m:r>
          <w:rPr>
            <w:rFonts w:ascii="Cambria Math" w:eastAsia="Calibri" w:hAnsi="Cambria Math" w:cs="Times New Roman"/>
            <w:sz w:val="24"/>
            <w:szCs w:val="24"/>
          </w:rPr>
          <m:t>-ln</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0</m:t>
            </m:r>
          </m:sub>
        </m:sSub>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1</m:t>
                </m:r>
              </m:sub>
            </m:sSub>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-∆H</m:t>
                </m:r>
              </m:e>
              <m:sup>
                <m:r>
                  <w:rPr>
                    <w:rFonts w:ascii="Cambria Math" w:eastAsia="Calibri" w:hAnsi="Cambria Math" w:cs="Times New Roman"/>
                    <w:sz w:val="24"/>
                    <w:szCs w:val="24"/>
                  </w:rPr>
                  <m:t>0</m:t>
                </m:r>
              </m:sup>
            </m:sSup>
          </m:num>
          <m:den>
            <m:r>
              <w:rPr>
                <w:rFonts w:ascii="Cambria Math" w:eastAsia="Calibri" w:hAnsi="Cambria Math" w:cs="Times New Roman"/>
                <w:sz w:val="24"/>
                <w:szCs w:val="24"/>
              </w:rPr>
              <m:t>R</m:t>
            </m:r>
          </m:den>
        </m:f>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2</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1</m:t>
                    </m:r>
                  </m:sub>
                </m:sSub>
              </m:den>
            </m:f>
          </m:e>
        </m:d>
      </m:oMath>
      <w:r w:rsidRPr="008E25CF">
        <w:rPr>
          <w:rFonts w:ascii="Times New Roman" w:eastAsia="Times New Roman" w:hAnsi="Times New Roman" w:cs="Times New Roman"/>
          <w:sz w:val="24"/>
          <w:szCs w:val="24"/>
        </w:rPr>
        <w:t xml:space="preserve">                                                                         (</w:t>
      </w:r>
      <w:r w:rsidR="001A2255">
        <w:rPr>
          <w:rFonts w:ascii="Times New Roman" w:eastAsia="Times New Roman" w:hAnsi="Times New Roman" w:cs="Times New Roman"/>
          <w:sz w:val="24"/>
          <w:szCs w:val="24"/>
        </w:rPr>
        <w:t>4</w:t>
      </w:r>
      <w:r w:rsidRPr="008E25CF">
        <w:rPr>
          <w:rFonts w:ascii="Times New Roman" w:eastAsia="Times New Roman" w:hAnsi="Times New Roman" w:cs="Times New Roman"/>
          <w:sz w:val="24"/>
          <w:szCs w:val="24"/>
        </w:rPr>
        <w:t>)</w:t>
      </w:r>
    </w:p>
    <w:p w:rsidR="008E25CF" w:rsidRPr="008E25CF" w:rsidRDefault="008E25CF" w:rsidP="008E25CF">
      <w:pPr>
        <w:spacing w:after="200" w:line="360" w:lineRule="auto"/>
        <w:jc w:val="both"/>
        <w:rPr>
          <w:rFonts w:ascii="Times New Roman" w:eastAsia="Times New Roman" w:hAnsi="Times New Roman" w:cs="Times New Roman"/>
          <w:sz w:val="24"/>
          <w:szCs w:val="24"/>
        </w:rPr>
      </w:pPr>
      <w:r w:rsidRPr="008E25CF">
        <w:rPr>
          <w:rFonts w:ascii="Times New Roman" w:eastAsia="Times New Roman" w:hAnsi="Times New Roman" w:cs="Times New Roman"/>
          <w:sz w:val="24"/>
          <w:szCs w:val="24"/>
        </w:rPr>
        <w:t>Where, T</w:t>
      </w:r>
      <w:r w:rsidRPr="008E25CF">
        <w:rPr>
          <w:rFonts w:ascii="Times New Roman" w:eastAsia="Times New Roman" w:hAnsi="Times New Roman" w:cs="Times New Roman"/>
          <w:sz w:val="24"/>
          <w:szCs w:val="24"/>
          <w:vertAlign w:val="subscript"/>
        </w:rPr>
        <w:t xml:space="preserve">2 </w:t>
      </w:r>
      <w:r w:rsidRPr="008E25CF">
        <w:rPr>
          <w:rFonts w:ascii="Times New Roman" w:eastAsia="Times New Roman" w:hAnsi="Times New Roman" w:cs="Times New Roman"/>
          <w:sz w:val="24"/>
          <w:szCs w:val="24"/>
        </w:rPr>
        <w:t>represent final temperature and T</w:t>
      </w:r>
      <w:r w:rsidRPr="008E25CF">
        <w:rPr>
          <w:rFonts w:ascii="Times New Roman" w:eastAsia="Times New Roman" w:hAnsi="Times New Roman" w:cs="Times New Roman"/>
          <w:sz w:val="24"/>
          <w:szCs w:val="24"/>
          <w:vertAlign w:val="subscript"/>
        </w:rPr>
        <w:t xml:space="preserve">1 </w:t>
      </w:r>
      <w:r w:rsidRPr="008E25CF">
        <w:rPr>
          <w:rFonts w:ascii="Times New Roman" w:eastAsia="Times New Roman" w:hAnsi="Times New Roman" w:cs="Times New Roman"/>
          <w:sz w:val="24"/>
          <w:szCs w:val="24"/>
        </w:rPr>
        <w:t>represent initial temperature. The standard entropy change (ΔS</w:t>
      </w:r>
      <w:r w:rsidRPr="008E25CF">
        <w:rPr>
          <w:rFonts w:ascii="Times New Roman" w:eastAsia="Times New Roman" w:hAnsi="Times New Roman" w:cs="Times New Roman"/>
          <w:sz w:val="24"/>
          <w:szCs w:val="24"/>
          <w:vertAlign w:val="superscript"/>
        </w:rPr>
        <w:t>0</w:t>
      </w:r>
      <w:r w:rsidRPr="008E25CF">
        <w:rPr>
          <w:rFonts w:ascii="Times New Roman" w:eastAsia="Times New Roman" w:hAnsi="Times New Roman" w:cs="Times New Roman"/>
          <w:sz w:val="24"/>
          <w:szCs w:val="24"/>
        </w:rPr>
        <w:t>) can be obtained by the equation:</w:t>
      </w:r>
    </w:p>
    <w:p w:rsidR="008E25CF" w:rsidRPr="008E25CF" w:rsidRDefault="008E25CF" w:rsidP="008E25CF">
      <w:pPr>
        <w:spacing w:after="200" w:line="360" w:lineRule="auto"/>
        <w:jc w:val="both"/>
        <w:rPr>
          <w:rFonts w:ascii="Times New Roman" w:eastAsia="Times New Roman" w:hAnsi="Times New Roman" w:cs="Times New Roman"/>
          <w:sz w:val="24"/>
          <w:szCs w:val="24"/>
        </w:rPr>
      </w:pPr>
      <w:r w:rsidRPr="008E25CF">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Δ</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0</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∆G</m:t>
                </m:r>
              </m:e>
              <m:sup>
                <m:r>
                  <w:rPr>
                    <w:rFonts w:ascii="Cambria Math" w:eastAsia="Times New Roman" w:hAnsi="Cambria Math" w:cs="Times New Roman"/>
                    <w:sz w:val="24"/>
                    <w:szCs w:val="24"/>
                  </w:rPr>
                  <m:t>0</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H</m:t>
                </m:r>
              </m:e>
              <m:sup>
                <m:r>
                  <w:rPr>
                    <w:rFonts w:ascii="Cambria Math" w:eastAsia="Times New Roman" w:hAnsi="Cambria Math" w:cs="Times New Roman"/>
                    <w:sz w:val="24"/>
                    <w:szCs w:val="24"/>
                  </w:rPr>
                  <m:t>0</m:t>
                </m:r>
              </m:sup>
            </m:sSup>
          </m:num>
          <m:den>
            <m:r>
              <w:rPr>
                <w:rFonts w:ascii="Cambria Math" w:eastAsia="Times New Roman" w:hAnsi="Cambria Math" w:cs="Times New Roman"/>
                <w:sz w:val="24"/>
                <w:szCs w:val="24"/>
              </w:rPr>
              <m:t>T</m:t>
            </m:r>
          </m:den>
        </m:f>
      </m:oMath>
      <w:r w:rsidRPr="008E25CF">
        <w:rPr>
          <w:rFonts w:ascii="Times New Roman" w:eastAsia="Times New Roman" w:hAnsi="Times New Roman" w:cs="Times New Roman"/>
          <w:sz w:val="24"/>
          <w:szCs w:val="24"/>
        </w:rPr>
        <w:t xml:space="preserve">                                                                                                             (</w:t>
      </w:r>
      <w:r w:rsidR="001A2255">
        <w:rPr>
          <w:rFonts w:ascii="Times New Roman" w:eastAsia="Times New Roman" w:hAnsi="Times New Roman" w:cs="Times New Roman"/>
          <w:sz w:val="24"/>
          <w:szCs w:val="24"/>
        </w:rPr>
        <w:t>5</w:t>
      </w:r>
      <w:r w:rsidRPr="008E25CF">
        <w:rPr>
          <w:rFonts w:ascii="Times New Roman" w:eastAsia="Times New Roman" w:hAnsi="Times New Roman" w:cs="Times New Roman"/>
          <w:sz w:val="24"/>
          <w:szCs w:val="24"/>
        </w:rPr>
        <w:t>)</w:t>
      </w:r>
    </w:p>
    <w:p w:rsidR="008E25CF" w:rsidRPr="008E25CF" w:rsidRDefault="008E25CF" w:rsidP="008E25CF">
      <w:pPr>
        <w:spacing w:after="200" w:line="360" w:lineRule="auto"/>
        <w:jc w:val="both"/>
        <w:rPr>
          <w:rFonts w:ascii="Times New Roman" w:eastAsia="Times New Roman" w:hAnsi="Times New Roman" w:cs="Times New Roman"/>
          <w:sz w:val="24"/>
          <w:szCs w:val="24"/>
        </w:rPr>
      </w:pPr>
      <w:r w:rsidRPr="008E25CF">
        <w:rPr>
          <w:rFonts w:ascii="Times New Roman" w:eastAsia="Times New Roman" w:hAnsi="Times New Roman" w:cs="Times New Roman"/>
          <w:sz w:val="24"/>
          <w:szCs w:val="24"/>
        </w:rPr>
        <w:t>The Thermodynamic parameters of biomass and activated ca</w:t>
      </w:r>
      <w:r w:rsidR="00897C04">
        <w:rPr>
          <w:rFonts w:ascii="Times New Roman" w:eastAsia="Times New Roman" w:hAnsi="Times New Roman" w:cs="Times New Roman"/>
          <w:sz w:val="24"/>
          <w:szCs w:val="24"/>
        </w:rPr>
        <w:t>rbon are listed below in Table I and Table I</w:t>
      </w:r>
      <w:r w:rsidRPr="008E25CF">
        <w:rPr>
          <w:rFonts w:ascii="Times New Roman" w:eastAsia="Times New Roman" w:hAnsi="Times New Roman" w:cs="Times New Roman"/>
          <w:sz w:val="24"/>
          <w:szCs w:val="24"/>
        </w:rPr>
        <w:t>I, respectively. A negative value of enthalpy change clues that Pb</w:t>
      </w:r>
      <w:r w:rsidRPr="008E25CF">
        <w:rPr>
          <w:rFonts w:ascii="Times New Roman" w:eastAsia="Times New Roman" w:hAnsi="Times New Roman" w:cs="Times New Roman"/>
          <w:sz w:val="24"/>
          <w:szCs w:val="24"/>
          <w:vertAlign w:val="superscript"/>
        </w:rPr>
        <w:t>+2</w:t>
      </w:r>
      <w:r w:rsidRPr="008E25CF">
        <w:rPr>
          <w:rFonts w:ascii="Times New Roman" w:eastAsia="Times New Roman" w:hAnsi="Times New Roman" w:cs="Times New Roman"/>
          <w:sz w:val="24"/>
          <w:szCs w:val="24"/>
        </w:rPr>
        <w:t xml:space="preserve"> adsorption on biosorbent is exothermic process, which is supported by the decreasing adsorption of Pb</w:t>
      </w:r>
      <w:r w:rsidRPr="008E25CF">
        <w:rPr>
          <w:rFonts w:ascii="Times New Roman" w:eastAsia="Times New Roman" w:hAnsi="Times New Roman" w:cs="Times New Roman"/>
          <w:sz w:val="24"/>
          <w:szCs w:val="24"/>
          <w:vertAlign w:val="superscript"/>
        </w:rPr>
        <w:t xml:space="preserve">+2 </w:t>
      </w:r>
      <w:r w:rsidRPr="008E25CF">
        <w:rPr>
          <w:rFonts w:ascii="Times New Roman" w:eastAsia="Times New Roman" w:hAnsi="Times New Roman" w:cs="Times New Roman"/>
          <w:sz w:val="24"/>
          <w:szCs w:val="24"/>
        </w:rPr>
        <w:t xml:space="preserve">when temperature was increased from </w:t>
      </w:r>
      <w:r w:rsidR="000336B1">
        <w:rPr>
          <w:rFonts w:ascii="Times New Roman" w:eastAsia="Times New Roman" w:hAnsi="Times New Roman" w:cs="Times New Roman"/>
          <w:sz w:val="24"/>
          <w:szCs w:val="24"/>
        </w:rPr>
        <w:t>283K</w:t>
      </w:r>
      <w:r w:rsidRPr="008E25CF">
        <w:rPr>
          <w:rFonts w:ascii="Times New Roman" w:eastAsia="Times New Roman" w:hAnsi="Times New Roman" w:cs="Times New Roman"/>
          <w:sz w:val="24"/>
          <w:szCs w:val="24"/>
        </w:rPr>
        <w:t xml:space="preserve"> to </w:t>
      </w:r>
      <w:r w:rsidR="000336B1">
        <w:rPr>
          <w:rFonts w:ascii="Times New Roman" w:eastAsia="Times New Roman" w:hAnsi="Times New Roman" w:cs="Times New Roman"/>
          <w:sz w:val="24"/>
          <w:szCs w:val="24"/>
        </w:rPr>
        <w:t>343K</w:t>
      </w:r>
      <w:r w:rsidRPr="008E25CF">
        <w:rPr>
          <w:rFonts w:ascii="Times New Roman" w:eastAsia="Times New Roman" w:hAnsi="Times New Roman" w:cs="Times New Roman"/>
          <w:sz w:val="24"/>
          <w:szCs w:val="24"/>
        </w:rPr>
        <w:t>. A negative standard free energy change shows that the adsorption reaction is a spontaneous and reversible process.</w:t>
      </w:r>
    </w:p>
    <w:p w:rsidR="008E25CF" w:rsidRPr="008E25CF" w:rsidRDefault="008E25CF" w:rsidP="008E25CF">
      <w:pPr>
        <w:jc w:val="both"/>
        <w:rPr>
          <w:rFonts w:ascii="Times New Roman" w:eastAsia="Times New Roman" w:hAnsi="Times New Roman" w:cs="Times New Roman"/>
          <w:color w:val="000000"/>
          <w:sz w:val="24"/>
          <w:szCs w:val="24"/>
        </w:rPr>
      </w:pPr>
      <w:r w:rsidRPr="008E25CF">
        <w:rPr>
          <w:rFonts w:ascii="Times New Roman" w:eastAsia="Calibri" w:hAnsi="Times New Roman" w:cs="Times New Roman"/>
          <w:sz w:val="24"/>
          <w:szCs w:val="24"/>
        </w:rPr>
        <w:t>TABLE I</w:t>
      </w:r>
      <w:r w:rsidRPr="008E25CF">
        <w:rPr>
          <w:rFonts w:ascii="Times New Roman" w:eastAsia="Calibri" w:hAnsi="Times New Roman" w:cs="Times New Roman"/>
          <w:b/>
          <w:sz w:val="24"/>
          <w:szCs w:val="24"/>
        </w:rPr>
        <w:t>.</w:t>
      </w:r>
      <w:r w:rsidRPr="008E25CF">
        <w:rPr>
          <w:rFonts w:ascii="Times New Roman" w:eastAsia="Times New Roman" w:hAnsi="Times New Roman" w:cs="Times New Roman"/>
          <w:b/>
          <w:bCs/>
          <w:color w:val="000000"/>
          <w:sz w:val="24"/>
          <w:szCs w:val="24"/>
        </w:rPr>
        <w:t xml:space="preserve"> </w:t>
      </w:r>
      <w:r w:rsidRPr="008E25CF">
        <w:rPr>
          <w:rFonts w:ascii="Times New Roman" w:eastAsia="Times New Roman" w:hAnsi="Times New Roman" w:cs="Times New Roman"/>
          <w:color w:val="000000"/>
          <w:sz w:val="24"/>
          <w:szCs w:val="24"/>
        </w:rPr>
        <w:t>Thermodynamic parameters values for Lead ion adsorption on raw biomass</w:t>
      </w:r>
    </w:p>
    <w:tbl>
      <w:tblPr>
        <w:tblStyle w:val="TableGrid2"/>
        <w:tblW w:w="9362" w:type="dxa"/>
        <w:tblInd w:w="108" w:type="dxa"/>
        <w:tblLayout w:type="fixed"/>
        <w:tblLook w:val="04A0" w:firstRow="1" w:lastRow="0" w:firstColumn="1" w:lastColumn="0" w:noHBand="0" w:noVBand="1"/>
      </w:tblPr>
      <w:tblGrid>
        <w:gridCol w:w="1872"/>
        <w:gridCol w:w="1008"/>
        <w:gridCol w:w="1080"/>
        <w:gridCol w:w="1080"/>
        <w:gridCol w:w="1080"/>
        <w:gridCol w:w="1080"/>
        <w:gridCol w:w="1080"/>
        <w:gridCol w:w="1082"/>
      </w:tblGrid>
      <w:tr w:rsidR="008E25CF" w:rsidRPr="008E25CF" w:rsidTr="005A76BB">
        <w:trPr>
          <w:trHeight w:val="299"/>
        </w:trPr>
        <w:tc>
          <w:tcPr>
            <w:tcW w:w="1872" w:type="dxa"/>
            <w:vMerge w:val="restart"/>
            <w:tcBorders>
              <w:left w:val="nil"/>
              <w:right w:val="nil"/>
            </w:tcBorders>
            <w:shd w:val="clear" w:color="auto" w:fill="auto"/>
          </w:tcPr>
          <w:p w:rsidR="008E25CF" w:rsidRPr="004F04A2" w:rsidRDefault="008E25CF" w:rsidP="008E25CF">
            <w:pPr>
              <w:jc w:val="both"/>
              <w:rPr>
                <w:rFonts w:ascii="Times New Roman" w:hAnsi="Times New Roman"/>
                <w:sz w:val="24"/>
                <w:szCs w:val="24"/>
              </w:rPr>
            </w:pPr>
            <w:r w:rsidRPr="004F04A2">
              <w:rPr>
                <w:rFonts w:ascii="Times New Roman" w:hAnsi="Times New Roman"/>
                <w:sz w:val="24"/>
                <w:szCs w:val="24"/>
              </w:rPr>
              <w:t xml:space="preserve">Thermodynamic constants </w:t>
            </w:r>
          </w:p>
        </w:tc>
        <w:tc>
          <w:tcPr>
            <w:tcW w:w="7490" w:type="dxa"/>
            <w:gridSpan w:val="7"/>
            <w:tcBorders>
              <w:left w:val="nil"/>
              <w:bottom w:val="single" w:sz="4" w:space="0" w:color="auto"/>
              <w:right w:val="nil"/>
            </w:tcBorders>
            <w:shd w:val="clear" w:color="auto" w:fill="auto"/>
          </w:tcPr>
          <w:p w:rsidR="008E25CF" w:rsidRPr="004F04A2" w:rsidRDefault="008E25CF" w:rsidP="00A7495D">
            <w:pPr>
              <w:jc w:val="both"/>
              <w:rPr>
                <w:rFonts w:ascii="Times New Roman" w:hAnsi="Times New Roman"/>
                <w:sz w:val="24"/>
                <w:szCs w:val="24"/>
              </w:rPr>
            </w:pPr>
            <w:r w:rsidRPr="004F04A2">
              <w:rPr>
                <w:rFonts w:ascii="Times New Roman" w:hAnsi="Times New Roman"/>
                <w:sz w:val="24"/>
                <w:szCs w:val="24"/>
              </w:rPr>
              <w:t>Temperature (</w:t>
            </w:r>
            <w:r w:rsidR="00A7495D" w:rsidRPr="004F04A2">
              <w:rPr>
                <w:rFonts w:ascii="Times New Roman" w:hAnsi="Times New Roman"/>
                <w:sz w:val="24"/>
                <w:szCs w:val="24"/>
              </w:rPr>
              <w:t>K</w:t>
            </w:r>
            <w:r w:rsidRPr="004F04A2">
              <w:rPr>
                <w:rFonts w:ascii="Times New Roman" w:hAnsi="Times New Roman"/>
                <w:sz w:val="24"/>
                <w:szCs w:val="24"/>
              </w:rPr>
              <w:t>)</w:t>
            </w:r>
          </w:p>
        </w:tc>
      </w:tr>
      <w:tr w:rsidR="00A7495D" w:rsidRPr="008E25CF" w:rsidTr="005A76BB">
        <w:trPr>
          <w:trHeight w:val="234"/>
        </w:trPr>
        <w:tc>
          <w:tcPr>
            <w:tcW w:w="1872" w:type="dxa"/>
            <w:vMerge/>
            <w:tcBorders>
              <w:left w:val="nil"/>
              <w:bottom w:val="single" w:sz="4" w:space="0" w:color="000000"/>
              <w:right w:val="nil"/>
            </w:tcBorders>
            <w:shd w:val="clear" w:color="auto" w:fill="auto"/>
          </w:tcPr>
          <w:p w:rsidR="00A7495D" w:rsidRPr="004F04A2" w:rsidRDefault="00A7495D" w:rsidP="00A7495D">
            <w:pPr>
              <w:jc w:val="both"/>
              <w:rPr>
                <w:rFonts w:ascii="Times New Roman" w:hAnsi="Times New Roman"/>
                <w:sz w:val="24"/>
                <w:szCs w:val="24"/>
              </w:rPr>
            </w:pPr>
          </w:p>
        </w:tc>
        <w:tc>
          <w:tcPr>
            <w:tcW w:w="1008" w:type="dxa"/>
            <w:tcBorders>
              <w:top w:val="single" w:sz="4" w:space="0" w:color="auto"/>
              <w:left w:val="nil"/>
              <w:bottom w:val="single" w:sz="4" w:space="0" w:color="000000"/>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283</w:t>
            </w:r>
          </w:p>
        </w:tc>
        <w:tc>
          <w:tcPr>
            <w:tcW w:w="1080" w:type="dxa"/>
            <w:tcBorders>
              <w:top w:val="single" w:sz="4" w:space="0" w:color="auto"/>
              <w:left w:val="nil"/>
              <w:bottom w:val="single" w:sz="4" w:space="0" w:color="000000"/>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293</w:t>
            </w:r>
          </w:p>
        </w:tc>
        <w:tc>
          <w:tcPr>
            <w:tcW w:w="1080" w:type="dxa"/>
            <w:tcBorders>
              <w:top w:val="single" w:sz="4" w:space="0" w:color="auto"/>
              <w:left w:val="nil"/>
              <w:bottom w:val="single" w:sz="4" w:space="0" w:color="000000"/>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303</w:t>
            </w:r>
          </w:p>
        </w:tc>
        <w:tc>
          <w:tcPr>
            <w:tcW w:w="1080" w:type="dxa"/>
            <w:tcBorders>
              <w:top w:val="single" w:sz="4" w:space="0" w:color="auto"/>
              <w:left w:val="nil"/>
              <w:bottom w:val="single" w:sz="4" w:space="0" w:color="auto"/>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313</w:t>
            </w:r>
          </w:p>
        </w:tc>
        <w:tc>
          <w:tcPr>
            <w:tcW w:w="1080" w:type="dxa"/>
            <w:tcBorders>
              <w:top w:val="single" w:sz="4" w:space="0" w:color="auto"/>
              <w:left w:val="nil"/>
              <w:bottom w:val="single" w:sz="4" w:space="0" w:color="auto"/>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323</w:t>
            </w:r>
          </w:p>
        </w:tc>
        <w:tc>
          <w:tcPr>
            <w:tcW w:w="1080" w:type="dxa"/>
            <w:tcBorders>
              <w:top w:val="single" w:sz="4" w:space="0" w:color="auto"/>
              <w:left w:val="nil"/>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333</w:t>
            </w:r>
          </w:p>
        </w:tc>
        <w:tc>
          <w:tcPr>
            <w:tcW w:w="1082" w:type="dxa"/>
            <w:tcBorders>
              <w:top w:val="single" w:sz="4" w:space="0" w:color="auto"/>
              <w:left w:val="nil"/>
              <w:bottom w:val="single" w:sz="4" w:space="0" w:color="auto"/>
              <w:right w:val="nil"/>
            </w:tcBorders>
            <w:shd w:val="clear" w:color="auto" w:fill="auto"/>
          </w:tcPr>
          <w:p w:rsidR="00A7495D" w:rsidRPr="004F04A2" w:rsidRDefault="00A7495D" w:rsidP="00A7495D">
            <w:pPr>
              <w:jc w:val="both"/>
              <w:rPr>
                <w:rFonts w:ascii="Times New Roman" w:hAnsi="Times New Roman"/>
                <w:sz w:val="24"/>
                <w:szCs w:val="24"/>
              </w:rPr>
            </w:pPr>
            <w:r w:rsidRPr="004F04A2">
              <w:rPr>
                <w:rFonts w:ascii="Times New Roman" w:hAnsi="Times New Roman"/>
                <w:sz w:val="24"/>
                <w:szCs w:val="24"/>
              </w:rPr>
              <w:t>343</w:t>
            </w:r>
          </w:p>
        </w:tc>
      </w:tr>
      <w:tr w:rsidR="008E25CF" w:rsidRPr="008E25CF" w:rsidTr="005A76BB">
        <w:trPr>
          <w:trHeight w:val="260"/>
        </w:trPr>
        <w:tc>
          <w:tcPr>
            <w:tcW w:w="1872" w:type="dxa"/>
            <w:tcBorders>
              <w:top w:val="nil"/>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proofErr w:type="spellStart"/>
            <w:r w:rsidRPr="008E25CF">
              <w:rPr>
                <w:rFonts w:ascii="Times New Roman" w:hAnsi="Times New Roman"/>
                <w:sz w:val="24"/>
                <w:szCs w:val="24"/>
              </w:rPr>
              <w:t>K</w:t>
            </w:r>
            <w:r w:rsidRPr="008E25CF">
              <w:rPr>
                <w:rFonts w:ascii="Times New Roman" w:hAnsi="Times New Roman"/>
                <w:sz w:val="24"/>
                <w:szCs w:val="24"/>
                <w:vertAlign w:val="subscript"/>
              </w:rPr>
              <w:t>o</w:t>
            </w:r>
            <w:proofErr w:type="spellEnd"/>
            <w:r w:rsidRPr="008E25CF">
              <w:rPr>
                <w:rFonts w:ascii="Times New Roman" w:hAnsi="Times New Roman"/>
                <w:sz w:val="24"/>
                <w:szCs w:val="24"/>
                <w:vertAlign w:val="subscript"/>
              </w:rPr>
              <w:t xml:space="preserve"> </w:t>
            </w:r>
            <w:r w:rsidRPr="008E25CF">
              <w:rPr>
                <w:rFonts w:ascii="Times New Roman" w:hAnsi="Times New Roman"/>
                <w:sz w:val="24"/>
                <w:szCs w:val="24"/>
              </w:rPr>
              <w:t>(mLg</w:t>
            </w:r>
            <w:r w:rsidRPr="008E25CF">
              <w:rPr>
                <w:rFonts w:ascii="Times New Roman" w:hAnsi="Times New Roman"/>
                <w:sz w:val="24"/>
                <w:szCs w:val="24"/>
                <w:vertAlign w:val="superscript"/>
              </w:rPr>
              <w:t>-1</w:t>
            </w:r>
            <w:r w:rsidRPr="008E25CF">
              <w:rPr>
                <w:rFonts w:ascii="Times New Roman" w:hAnsi="Times New Roman"/>
                <w:sz w:val="24"/>
                <w:szCs w:val="24"/>
              </w:rPr>
              <w:t>)</w:t>
            </w:r>
          </w:p>
        </w:tc>
        <w:tc>
          <w:tcPr>
            <w:tcW w:w="1008" w:type="dxa"/>
            <w:tcBorders>
              <w:top w:val="single" w:sz="4" w:space="0" w:color="000000"/>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color w:val="000000"/>
                <w:sz w:val="24"/>
                <w:szCs w:val="24"/>
              </w:rPr>
            </w:pPr>
            <w:r w:rsidRPr="008E25CF">
              <w:rPr>
                <w:rFonts w:ascii="Times New Roman" w:hAnsi="Times New Roman"/>
                <w:color w:val="000000"/>
                <w:sz w:val="24"/>
                <w:szCs w:val="24"/>
              </w:rPr>
              <w:t>1118.12</w:t>
            </w:r>
          </w:p>
          <w:p w:rsidR="008E25CF" w:rsidRPr="008E25CF" w:rsidRDefault="008E25CF" w:rsidP="008E25CF">
            <w:pPr>
              <w:jc w:val="both"/>
              <w:rPr>
                <w:rFonts w:ascii="Times New Roman" w:hAnsi="Times New Roman"/>
                <w:color w:val="000000"/>
                <w:sz w:val="24"/>
                <w:szCs w:val="24"/>
              </w:rPr>
            </w:pPr>
          </w:p>
        </w:tc>
        <w:tc>
          <w:tcPr>
            <w:tcW w:w="1080"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713.59</w:t>
            </w:r>
          </w:p>
        </w:tc>
        <w:tc>
          <w:tcPr>
            <w:tcW w:w="1080"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295.93</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245.60</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176.77</w:t>
            </w:r>
          </w:p>
        </w:tc>
        <w:tc>
          <w:tcPr>
            <w:tcW w:w="1080"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149.01</w:t>
            </w:r>
          </w:p>
        </w:tc>
        <w:tc>
          <w:tcPr>
            <w:tcW w:w="1082" w:type="dxa"/>
            <w:tcBorders>
              <w:top w:val="single" w:sz="4" w:space="0" w:color="auto"/>
              <w:left w:val="nil"/>
              <w:bottom w:val="nil"/>
              <w:right w:val="nil"/>
            </w:tcBorders>
          </w:tcPr>
          <w:p w:rsidR="008E25CF" w:rsidRPr="008E25CF" w:rsidRDefault="008E25CF" w:rsidP="008E25CF">
            <w:pPr>
              <w:jc w:val="both"/>
              <w:rPr>
                <w:rFonts w:ascii="Times New Roman" w:hAnsi="Times New Roman"/>
                <w:color w:val="000000"/>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51.51</w:t>
            </w:r>
          </w:p>
        </w:tc>
      </w:tr>
      <w:tr w:rsidR="008E25CF" w:rsidRPr="008E25CF" w:rsidTr="005A76BB">
        <w:tc>
          <w:tcPr>
            <w:tcW w:w="1872" w:type="dxa"/>
            <w:tcBorders>
              <w:top w:val="nil"/>
              <w:left w:val="nil"/>
              <w:bottom w:val="nil"/>
              <w:right w:val="nil"/>
            </w:tcBorders>
          </w:tcPr>
          <w:p w:rsidR="008E25CF" w:rsidRPr="008E25CF" w:rsidRDefault="008E25CF" w:rsidP="008E25CF">
            <w:pPr>
              <w:jc w:val="both"/>
              <w:rPr>
                <w:rFonts w:ascii="Times New Roman" w:hAnsi="Times New Roman"/>
                <w:sz w:val="24"/>
                <w:szCs w:val="24"/>
              </w:rPr>
            </w:pPr>
            <w:proofErr w:type="spellStart"/>
            <w:r w:rsidRPr="008E25CF">
              <w:rPr>
                <w:rFonts w:ascii="Times New Roman" w:hAnsi="Times New Roman"/>
                <w:bCs/>
                <w:color w:val="000000"/>
                <w:sz w:val="24"/>
                <w:szCs w:val="24"/>
              </w:rPr>
              <w:t>ΔG</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r w:rsidRPr="008E25CF">
              <w:rPr>
                <w:rFonts w:ascii="Times New Roman" w:hAnsi="Times New Roman"/>
                <w:color w:val="000000"/>
                <w:sz w:val="24"/>
                <w:szCs w:val="24"/>
              </w:rPr>
              <w:t>-3.95</w:t>
            </w:r>
          </w:p>
          <w:p w:rsidR="008E25CF" w:rsidRPr="008E25CF" w:rsidRDefault="008E25CF" w:rsidP="008E25CF">
            <w:pPr>
              <w:jc w:val="both"/>
              <w:rPr>
                <w:rFonts w:ascii="Times New Roman" w:hAnsi="Times New Roman"/>
                <w:sz w:val="24"/>
                <w:szCs w:val="24"/>
              </w:rPr>
            </w:pP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-3.83</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-3.43</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-3.42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-3.32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-3.31</w:t>
            </w:r>
          </w:p>
        </w:tc>
        <w:tc>
          <w:tcPr>
            <w:tcW w:w="1082"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-2.69</w:t>
            </w:r>
          </w:p>
        </w:tc>
      </w:tr>
      <w:tr w:rsidR="008E25CF" w:rsidRPr="008E25CF" w:rsidTr="005A76BB">
        <w:trPr>
          <w:trHeight w:val="323"/>
        </w:trPr>
        <w:tc>
          <w:tcPr>
            <w:tcW w:w="1872" w:type="dxa"/>
            <w:tcBorders>
              <w:top w:val="nil"/>
              <w:left w:val="nil"/>
              <w:bottom w:val="nil"/>
              <w:right w:val="nil"/>
            </w:tcBorders>
            <w:vAlign w:val="center"/>
          </w:tcPr>
          <w:p w:rsidR="008E25CF" w:rsidRPr="008E25CF" w:rsidRDefault="008E25CF" w:rsidP="008E25CF">
            <w:pPr>
              <w:jc w:val="both"/>
              <w:rPr>
                <w:rFonts w:ascii="Times New Roman" w:hAnsi="Times New Roman"/>
                <w:bCs/>
                <w:color w:val="000000"/>
                <w:sz w:val="24"/>
                <w:szCs w:val="24"/>
              </w:rPr>
            </w:pPr>
            <w:proofErr w:type="spellStart"/>
            <w:r w:rsidRPr="008E25CF">
              <w:rPr>
                <w:rFonts w:ascii="Times New Roman" w:hAnsi="Times New Roman"/>
                <w:bCs/>
                <w:color w:val="000000"/>
                <w:sz w:val="24"/>
                <w:szCs w:val="24"/>
              </w:rPr>
              <w:t>ΔH</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r w:rsidRPr="008E25CF">
              <w:rPr>
                <w:rFonts w:ascii="Times New Roman" w:hAnsi="Times New Roman"/>
                <w:color w:val="000000"/>
                <w:sz w:val="24"/>
                <w:szCs w:val="24"/>
              </w:rPr>
              <w:t>-8.87</w:t>
            </w:r>
          </w:p>
          <w:p w:rsidR="008E25CF" w:rsidRPr="008E25CF" w:rsidRDefault="008E25CF" w:rsidP="008E25CF">
            <w:pPr>
              <w:jc w:val="both"/>
              <w:rPr>
                <w:rFonts w:ascii="Times New Roman" w:hAnsi="Times New Roman"/>
                <w:sz w:val="24"/>
                <w:szCs w:val="24"/>
              </w:rPr>
            </w:pP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-8.87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-8.87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-8.87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-8.87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-8.87</w:t>
            </w:r>
          </w:p>
        </w:tc>
        <w:tc>
          <w:tcPr>
            <w:tcW w:w="1082"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-8.87</w:t>
            </w:r>
          </w:p>
        </w:tc>
      </w:tr>
      <w:tr w:rsidR="008E25CF" w:rsidRPr="008E25CF" w:rsidTr="005A76BB">
        <w:tc>
          <w:tcPr>
            <w:tcW w:w="1872" w:type="dxa"/>
            <w:tcBorders>
              <w:top w:val="nil"/>
              <w:left w:val="nil"/>
              <w:bottom w:val="single" w:sz="4" w:space="0" w:color="auto"/>
              <w:right w:val="nil"/>
            </w:tcBorders>
            <w:vAlign w:val="center"/>
          </w:tcPr>
          <w:p w:rsidR="008E25CF" w:rsidRPr="008E25CF" w:rsidRDefault="008E25CF" w:rsidP="008E25CF">
            <w:pPr>
              <w:jc w:val="both"/>
              <w:rPr>
                <w:rFonts w:ascii="Times New Roman" w:hAnsi="Times New Roman"/>
                <w:bCs/>
                <w:color w:val="000000"/>
                <w:sz w:val="24"/>
                <w:szCs w:val="24"/>
              </w:rPr>
            </w:pPr>
            <w:proofErr w:type="spellStart"/>
            <w:r w:rsidRPr="008E25CF">
              <w:rPr>
                <w:rFonts w:ascii="Times New Roman" w:hAnsi="Times New Roman"/>
                <w:bCs/>
                <w:color w:val="000000"/>
                <w:sz w:val="24"/>
                <w:szCs w:val="24"/>
              </w:rPr>
              <w:t>ΔS</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 xml:space="preserve"> deg</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c>
          <w:tcPr>
            <w:tcW w:w="1082"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-0.02</w:t>
            </w:r>
          </w:p>
        </w:tc>
      </w:tr>
    </w:tbl>
    <w:p w:rsidR="008E25CF" w:rsidRPr="008E25CF" w:rsidRDefault="008E25CF" w:rsidP="008E25CF">
      <w:pPr>
        <w:jc w:val="both"/>
        <w:rPr>
          <w:rFonts w:ascii="Times New Roman" w:eastAsia="Calibri" w:hAnsi="Times New Roman" w:cs="Times New Roman"/>
          <w:sz w:val="24"/>
          <w:szCs w:val="24"/>
        </w:rPr>
      </w:pPr>
    </w:p>
    <w:p w:rsidR="008E25CF" w:rsidRDefault="008E25CF" w:rsidP="008E25CF">
      <w:pPr>
        <w:jc w:val="both"/>
        <w:rPr>
          <w:rFonts w:ascii="Times New Roman" w:eastAsia="Calibri" w:hAnsi="Times New Roman" w:cs="Times New Roman"/>
          <w:sz w:val="24"/>
          <w:szCs w:val="24"/>
        </w:rPr>
      </w:pPr>
    </w:p>
    <w:p w:rsidR="000413DF" w:rsidRDefault="000413DF" w:rsidP="008E25CF">
      <w:pPr>
        <w:jc w:val="both"/>
        <w:rPr>
          <w:rFonts w:ascii="Times New Roman" w:eastAsia="Calibri" w:hAnsi="Times New Roman" w:cs="Times New Roman"/>
          <w:sz w:val="24"/>
          <w:szCs w:val="24"/>
        </w:rPr>
      </w:pPr>
    </w:p>
    <w:p w:rsidR="000413DF" w:rsidRDefault="000413DF" w:rsidP="008E25CF">
      <w:pPr>
        <w:jc w:val="both"/>
        <w:rPr>
          <w:rFonts w:ascii="Times New Roman" w:eastAsia="Calibri" w:hAnsi="Times New Roman" w:cs="Times New Roman"/>
          <w:sz w:val="24"/>
          <w:szCs w:val="24"/>
        </w:rPr>
      </w:pPr>
    </w:p>
    <w:p w:rsidR="000413DF" w:rsidRDefault="000413DF" w:rsidP="008E25CF">
      <w:pPr>
        <w:jc w:val="both"/>
        <w:rPr>
          <w:rFonts w:ascii="Times New Roman" w:eastAsia="Calibri" w:hAnsi="Times New Roman" w:cs="Times New Roman"/>
          <w:sz w:val="24"/>
          <w:szCs w:val="24"/>
        </w:rPr>
      </w:pPr>
    </w:p>
    <w:p w:rsidR="000413DF" w:rsidRDefault="000413DF" w:rsidP="008E25CF">
      <w:pPr>
        <w:jc w:val="both"/>
        <w:rPr>
          <w:rFonts w:ascii="Times New Roman" w:eastAsia="Calibri" w:hAnsi="Times New Roman" w:cs="Times New Roman"/>
          <w:sz w:val="24"/>
          <w:szCs w:val="24"/>
        </w:rPr>
      </w:pPr>
    </w:p>
    <w:p w:rsidR="000413DF" w:rsidRPr="008E25CF" w:rsidRDefault="000413DF" w:rsidP="008E25CF">
      <w:pPr>
        <w:jc w:val="both"/>
        <w:rPr>
          <w:rFonts w:ascii="Times New Roman" w:eastAsia="Calibri" w:hAnsi="Times New Roman" w:cs="Times New Roman"/>
          <w:sz w:val="24"/>
          <w:szCs w:val="24"/>
        </w:rPr>
      </w:pPr>
    </w:p>
    <w:p w:rsidR="008E25CF" w:rsidRPr="008E25CF" w:rsidRDefault="008E25CF" w:rsidP="008E25CF">
      <w:pPr>
        <w:jc w:val="both"/>
        <w:rPr>
          <w:rFonts w:ascii="Times New Roman" w:eastAsia="Times New Roman" w:hAnsi="Times New Roman" w:cs="Times New Roman"/>
          <w:b/>
          <w:color w:val="000000"/>
          <w:sz w:val="24"/>
          <w:szCs w:val="24"/>
        </w:rPr>
      </w:pPr>
      <w:r w:rsidRPr="008E25CF">
        <w:rPr>
          <w:rFonts w:ascii="Times New Roman" w:eastAsia="Calibri" w:hAnsi="Times New Roman" w:cs="Times New Roman"/>
          <w:sz w:val="24"/>
          <w:szCs w:val="24"/>
        </w:rPr>
        <w:lastRenderedPageBreak/>
        <w:t>TABLE II</w:t>
      </w:r>
      <w:r w:rsidRPr="008E25CF">
        <w:rPr>
          <w:rFonts w:ascii="Times New Roman" w:eastAsia="Calibri" w:hAnsi="Times New Roman" w:cs="Times New Roman"/>
          <w:b/>
          <w:sz w:val="24"/>
          <w:szCs w:val="24"/>
        </w:rPr>
        <w:t>.</w:t>
      </w:r>
      <w:r w:rsidRPr="008E25CF">
        <w:rPr>
          <w:rFonts w:ascii="Times New Roman" w:eastAsia="Times New Roman" w:hAnsi="Times New Roman" w:cs="Times New Roman"/>
          <w:b/>
          <w:bCs/>
          <w:color w:val="000000"/>
          <w:sz w:val="24"/>
          <w:szCs w:val="24"/>
        </w:rPr>
        <w:t xml:space="preserve"> </w:t>
      </w:r>
      <w:r w:rsidRPr="008E25CF">
        <w:rPr>
          <w:rFonts w:ascii="Times New Roman" w:eastAsia="Times New Roman" w:hAnsi="Times New Roman" w:cs="Times New Roman"/>
          <w:color w:val="000000"/>
          <w:sz w:val="24"/>
          <w:szCs w:val="24"/>
        </w:rPr>
        <w:t>Various thermodynamic parameters values for Lead ion adsorption on ACs</w:t>
      </w:r>
    </w:p>
    <w:tbl>
      <w:tblPr>
        <w:tblStyle w:val="TableGrid2"/>
        <w:tblW w:w="9362" w:type="dxa"/>
        <w:tblInd w:w="108" w:type="dxa"/>
        <w:tblLayout w:type="fixed"/>
        <w:tblLook w:val="04A0" w:firstRow="1" w:lastRow="0" w:firstColumn="1" w:lastColumn="0" w:noHBand="0" w:noVBand="1"/>
      </w:tblPr>
      <w:tblGrid>
        <w:gridCol w:w="1872"/>
        <w:gridCol w:w="1008"/>
        <w:gridCol w:w="1080"/>
        <w:gridCol w:w="1080"/>
        <w:gridCol w:w="1080"/>
        <w:gridCol w:w="1080"/>
        <w:gridCol w:w="1080"/>
        <w:gridCol w:w="1082"/>
      </w:tblGrid>
      <w:tr w:rsidR="008E25CF" w:rsidRPr="008E25CF" w:rsidTr="005A76BB">
        <w:trPr>
          <w:trHeight w:val="299"/>
        </w:trPr>
        <w:tc>
          <w:tcPr>
            <w:tcW w:w="1872" w:type="dxa"/>
            <w:vMerge w:val="restart"/>
            <w:tcBorders>
              <w:left w:val="nil"/>
              <w:bottom w:val="nil"/>
              <w:right w:val="nil"/>
            </w:tcBorders>
            <w:shd w:val="clear" w:color="auto" w:fill="auto"/>
          </w:tcPr>
          <w:p w:rsidR="008E25CF" w:rsidRPr="004F04A2" w:rsidRDefault="008E25CF" w:rsidP="008E25CF">
            <w:pPr>
              <w:jc w:val="both"/>
              <w:rPr>
                <w:rFonts w:ascii="Times New Roman" w:hAnsi="Times New Roman"/>
                <w:sz w:val="24"/>
                <w:szCs w:val="24"/>
              </w:rPr>
            </w:pPr>
            <w:r w:rsidRPr="004F04A2">
              <w:rPr>
                <w:rFonts w:ascii="Times New Roman" w:hAnsi="Times New Roman"/>
                <w:sz w:val="24"/>
                <w:szCs w:val="24"/>
              </w:rPr>
              <w:t xml:space="preserve">Thermodynamic constants </w:t>
            </w:r>
          </w:p>
        </w:tc>
        <w:tc>
          <w:tcPr>
            <w:tcW w:w="7490" w:type="dxa"/>
            <w:gridSpan w:val="7"/>
            <w:tcBorders>
              <w:left w:val="nil"/>
              <w:bottom w:val="single" w:sz="4" w:space="0" w:color="auto"/>
              <w:right w:val="nil"/>
            </w:tcBorders>
            <w:shd w:val="clear" w:color="auto" w:fill="auto"/>
          </w:tcPr>
          <w:p w:rsidR="008E25CF" w:rsidRPr="004F04A2" w:rsidRDefault="008E25CF" w:rsidP="00A7495D">
            <w:pPr>
              <w:jc w:val="both"/>
              <w:rPr>
                <w:rFonts w:ascii="Times New Roman" w:hAnsi="Times New Roman"/>
                <w:sz w:val="24"/>
                <w:szCs w:val="24"/>
              </w:rPr>
            </w:pPr>
            <w:r w:rsidRPr="004F04A2">
              <w:rPr>
                <w:rFonts w:ascii="Times New Roman" w:hAnsi="Times New Roman"/>
                <w:sz w:val="24"/>
                <w:szCs w:val="24"/>
              </w:rPr>
              <w:t>Temperature (</w:t>
            </w:r>
            <w:r w:rsidR="00A7495D" w:rsidRPr="004F04A2">
              <w:rPr>
                <w:rFonts w:ascii="Times New Roman" w:hAnsi="Times New Roman"/>
                <w:sz w:val="24"/>
                <w:szCs w:val="24"/>
              </w:rPr>
              <w:t>K</w:t>
            </w:r>
            <w:r w:rsidRPr="004F04A2">
              <w:rPr>
                <w:rFonts w:ascii="Times New Roman" w:hAnsi="Times New Roman"/>
                <w:sz w:val="24"/>
                <w:szCs w:val="24"/>
              </w:rPr>
              <w:t>)</w:t>
            </w:r>
          </w:p>
        </w:tc>
      </w:tr>
      <w:tr w:rsidR="00897C04" w:rsidRPr="008E25CF" w:rsidTr="005A76BB">
        <w:trPr>
          <w:trHeight w:val="234"/>
        </w:trPr>
        <w:tc>
          <w:tcPr>
            <w:tcW w:w="1872" w:type="dxa"/>
            <w:vMerge/>
            <w:tcBorders>
              <w:left w:val="nil"/>
              <w:bottom w:val="single" w:sz="4" w:space="0" w:color="auto"/>
              <w:right w:val="nil"/>
            </w:tcBorders>
            <w:shd w:val="clear" w:color="auto" w:fill="auto"/>
          </w:tcPr>
          <w:p w:rsidR="00897C04" w:rsidRPr="004F04A2" w:rsidRDefault="00897C04" w:rsidP="00897C04">
            <w:pPr>
              <w:jc w:val="both"/>
              <w:rPr>
                <w:rFonts w:ascii="Times New Roman" w:hAnsi="Times New Roman"/>
                <w:sz w:val="24"/>
                <w:szCs w:val="24"/>
              </w:rPr>
            </w:pPr>
          </w:p>
        </w:tc>
        <w:tc>
          <w:tcPr>
            <w:tcW w:w="1008" w:type="dxa"/>
            <w:tcBorders>
              <w:top w:val="nil"/>
              <w:left w:val="nil"/>
              <w:bottom w:val="single" w:sz="4" w:space="0" w:color="auto"/>
              <w:right w:val="nil"/>
            </w:tcBorders>
            <w:shd w:val="clear" w:color="auto" w:fill="auto"/>
          </w:tcPr>
          <w:p w:rsidR="00897C04" w:rsidRPr="004F04A2" w:rsidRDefault="00A7495D" w:rsidP="00897C04">
            <w:pPr>
              <w:jc w:val="both"/>
              <w:rPr>
                <w:rFonts w:ascii="Times New Roman" w:hAnsi="Times New Roman"/>
                <w:sz w:val="24"/>
                <w:szCs w:val="24"/>
              </w:rPr>
            </w:pPr>
            <w:r w:rsidRPr="004F04A2">
              <w:rPr>
                <w:rFonts w:ascii="Times New Roman" w:hAnsi="Times New Roman"/>
                <w:sz w:val="24"/>
                <w:szCs w:val="24"/>
              </w:rPr>
              <w:t>283</w:t>
            </w:r>
          </w:p>
        </w:tc>
        <w:tc>
          <w:tcPr>
            <w:tcW w:w="1080" w:type="dxa"/>
            <w:tcBorders>
              <w:top w:val="single" w:sz="4" w:space="0" w:color="auto"/>
              <w:left w:val="nil"/>
              <w:bottom w:val="single" w:sz="4" w:space="0" w:color="auto"/>
              <w:right w:val="nil"/>
            </w:tcBorders>
            <w:shd w:val="clear" w:color="auto" w:fill="auto"/>
          </w:tcPr>
          <w:p w:rsidR="00897C04" w:rsidRPr="004F04A2" w:rsidRDefault="00897C04" w:rsidP="00A7495D">
            <w:pPr>
              <w:jc w:val="both"/>
              <w:rPr>
                <w:rFonts w:ascii="Times New Roman" w:hAnsi="Times New Roman"/>
                <w:sz w:val="24"/>
                <w:szCs w:val="24"/>
              </w:rPr>
            </w:pPr>
            <w:r w:rsidRPr="004F04A2">
              <w:rPr>
                <w:rFonts w:ascii="Times New Roman" w:hAnsi="Times New Roman"/>
                <w:sz w:val="24"/>
                <w:szCs w:val="24"/>
              </w:rPr>
              <w:t>2</w:t>
            </w:r>
            <w:r w:rsidR="00A7495D" w:rsidRPr="004F04A2">
              <w:rPr>
                <w:rFonts w:ascii="Times New Roman" w:hAnsi="Times New Roman"/>
                <w:sz w:val="24"/>
                <w:szCs w:val="24"/>
              </w:rPr>
              <w:t>93</w:t>
            </w:r>
          </w:p>
        </w:tc>
        <w:tc>
          <w:tcPr>
            <w:tcW w:w="1080" w:type="dxa"/>
            <w:tcBorders>
              <w:top w:val="nil"/>
              <w:left w:val="nil"/>
              <w:bottom w:val="single" w:sz="4" w:space="0" w:color="auto"/>
              <w:right w:val="nil"/>
            </w:tcBorders>
            <w:shd w:val="clear" w:color="auto" w:fill="auto"/>
          </w:tcPr>
          <w:p w:rsidR="00897C04" w:rsidRPr="004F04A2" w:rsidRDefault="00897C04" w:rsidP="00897C04">
            <w:pPr>
              <w:jc w:val="both"/>
              <w:rPr>
                <w:rFonts w:ascii="Times New Roman" w:hAnsi="Times New Roman"/>
                <w:sz w:val="24"/>
                <w:szCs w:val="24"/>
              </w:rPr>
            </w:pPr>
            <w:r w:rsidRPr="004F04A2">
              <w:rPr>
                <w:rFonts w:ascii="Times New Roman" w:hAnsi="Times New Roman"/>
                <w:sz w:val="24"/>
                <w:szCs w:val="24"/>
              </w:rPr>
              <w:t>30</w:t>
            </w:r>
            <w:r w:rsidR="00A7495D" w:rsidRPr="004F04A2">
              <w:rPr>
                <w:rFonts w:ascii="Times New Roman" w:hAnsi="Times New Roman"/>
                <w:sz w:val="24"/>
                <w:szCs w:val="24"/>
              </w:rPr>
              <w:t>3</w:t>
            </w:r>
          </w:p>
        </w:tc>
        <w:tc>
          <w:tcPr>
            <w:tcW w:w="1080" w:type="dxa"/>
            <w:tcBorders>
              <w:top w:val="single" w:sz="4" w:space="0" w:color="auto"/>
              <w:left w:val="nil"/>
              <w:bottom w:val="single" w:sz="4" w:space="0" w:color="auto"/>
              <w:right w:val="nil"/>
            </w:tcBorders>
            <w:shd w:val="clear" w:color="auto" w:fill="auto"/>
          </w:tcPr>
          <w:p w:rsidR="00897C04" w:rsidRPr="004F04A2" w:rsidRDefault="00A7495D" w:rsidP="00897C04">
            <w:pPr>
              <w:jc w:val="both"/>
              <w:rPr>
                <w:rFonts w:ascii="Times New Roman" w:hAnsi="Times New Roman"/>
                <w:sz w:val="24"/>
                <w:szCs w:val="24"/>
              </w:rPr>
            </w:pPr>
            <w:r w:rsidRPr="004F04A2">
              <w:rPr>
                <w:rFonts w:ascii="Times New Roman" w:hAnsi="Times New Roman"/>
                <w:sz w:val="24"/>
                <w:szCs w:val="24"/>
              </w:rPr>
              <w:t>313</w:t>
            </w:r>
          </w:p>
        </w:tc>
        <w:tc>
          <w:tcPr>
            <w:tcW w:w="1080" w:type="dxa"/>
            <w:tcBorders>
              <w:top w:val="nil"/>
              <w:left w:val="nil"/>
              <w:bottom w:val="single" w:sz="4" w:space="0" w:color="auto"/>
              <w:right w:val="nil"/>
            </w:tcBorders>
            <w:shd w:val="clear" w:color="auto" w:fill="auto"/>
          </w:tcPr>
          <w:p w:rsidR="00897C04" w:rsidRPr="004F04A2" w:rsidRDefault="00A7495D" w:rsidP="00897C04">
            <w:pPr>
              <w:jc w:val="both"/>
              <w:rPr>
                <w:rFonts w:ascii="Times New Roman" w:hAnsi="Times New Roman"/>
                <w:sz w:val="24"/>
                <w:szCs w:val="24"/>
              </w:rPr>
            </w:pPr>
            <w:r w:rsidRPr="004F04A2">
              <w:rPr>
                <w:rFonts w:ascii="Times New Roman" w:hAnsi="Times New Roman"/>
                <w:sz w:val="24"/>
                <w:szCs w:val="24"/>
              </w:rPr>
              <w:t>323</w:t>
            </w:r>
          </w:p>
        </w:tc>
        <w:tc>
          <w:tcPr>
            <w:tcW w:w="1080" w:type="dxa"/>
            <w:tcBorders>
              <w:top w:val="single" w:sz="4" w:space="0" w:color="auto"/>
              <w:left w:val="nil"/>
              <w:bottom w:val="single" w:sz="4" w:space="0" w:color="auto"/>
              <w:right w:val="nil"/>
            </w:tcBorders>
            <w:shd w:val="clear" w:color="auto" w:fill="auto"/>
          </w:tcPr>
          <w:p w:rsidR="00897C04" w:rsidRPr="004F04A2" w:rsidRDefault="00A7495D" w:rsidP="00897C04">
            <w:pPr>
              <w:jc w:val="both"/>
              <w:rPr>
                <w:rFonts w:ascii="Times New Roman" w:hAnsi="Times New Roman"/>
                <w:sz w:val="24"/>
                <w:szCs w:val="24"/>
              </w:rPr>
            </w:pPr>
            <w:r w:rsidRPr="004F04A2">
              <w:rPr>
                <w:rFonts w:ascii="Times New Roman" w:hAnsi="Times New Roman"/>
                <w:sz w:val="24"/>
                <w:szCs w:val="24"/>
              </w:rPr>
              <w:t>333</w:t>
            </w:r>
          </w:p>
        </w:tc>
        <w:tc>
          <w:tcPr>
            <w:tcW w:w="1082" w:type="dxa"/>
            <w:tcBorders>
              <w:top w:val="nil"/>
              <w:left w:val="nil"/>
              <w:bottom w:val="single" w:sz="4" w:space="0" w:color="auto"/>
              <w:right w:val="nil"/>
            </w:tcBorders>
            <w:shd w:val="clear" w:color="auto" w:fill="auto"/>
          </w:tcPr>
          <w:p w:rsidR="00897C04" w:rsidRPr="004F04A2" w:rsidRDefault="00A7495D" w:rsidP="00897C04">
            <w:pPr>
              <w:jc w:val="both"/>
              <w:rPr>
                <w:rFonts w:ascii="Times New Roman" w:hAnsi="Times New Roman"/>
                <w:sz w:val="24"/>
                <w:szCs w:val="24"/>
              </w:rPr>
            </w:pPr>
            <w:r w:rsidRPr="004F04A2">
              <w:rPr>
                <w:rFonts w:ascii="Times New Roman" w:hAnsi="Times New Roman"/>
                <w:sz w:val="24"/>
                <w:szCs w:val="24"/>
              </w:rPr>
              <w:t>343</w:t>
            </w:r>
          </w:p>
        </w:tc>
      </w:tr>
      <w:tr w:rsidR="008E25CF" w:rsidRPr="008E25CF" w:rsidTr="005A76BB">
        <w:trPr>
          <w:trHeight w:val="260"/>
        </w:trPr>
        <w:tc>
          <w:tcPr>
            <w:tcW w:w="1872"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proofErr w:type="spellStart"/>
            <w:r w:rsidRPr="008E25CF">
              <w:rPr>
                <w:rFonts w:ascii="Times New Roman" w:hAnsi="Times New Roman"/>
                <w:sz w:val="24"/>
                <w:szCs w:val="24"/>
              </w:rPr>
              <w:t>K</w:t>
            </w:r>
            <w:r w:rsidRPr="008E25CF">
              <w:rPr>
                <w:rFonts w:ascii="Times New Roman" w:hAnsi="Times New Roman"/>
                <w:sz w:val="24"/>
                <w:szCs w:val="24"/>
                <w:vertAlign w:val="subscript"/>
              </w:rPr>
              <w:t>o</w:t>
            </w:r>
            <w:proofErr w:type="spellEnd"/>
            <w:r w:rsidRPr="008E25CF">
              <w:rPr>
                <w:rFonts w:ascii="Times New Roman" w:hAnsi="Times New Roman"/>
                <w:sz w:val="24"/>
                <w:szCs w:val="24"/>
                <w:vertAlign w:val="subscript"/>
              </w:rPr>
              <w:t xml:space="preserve"> </w:t>
            </w:r>
            <w:r w:rsidRPr="008E25CF">
              <w:rPr>
                <w:rFonts w:ascii="Times New Roman" w:hAnsi="Times New Roman"/>
                <w:sz w:val="24"/>
                <w:szCs w:val="24"/>
              </w:rPr>
              <w:t>(mLg</w:t>
            </w:r>
            <w:r w:rsidRPr="008E25CF">
              <w:rPr>
                <w:rFonts w:ascii="Times New Roman" w:hAnsi="Times New Roman"/>
                <w:sz w:val="24"/>
                <w:szCs w:val="24"/>
                <w:vertAlign w:val="superscript"/>
              </w:rPr>
              <w:t>-1</w:t>
            </w:r>
            <w:r w:rsidRPr="008E25CF">
              <w:rPr>
                <w:rFonts w:ascii="Times New Roman" w:hAnsi="Times New Roman"/>
                <w:sz w:val="24"/>
                <w:szCs w:val="24"/>
              </w:rPr>
              <w:t>)</w:t>
            </w:r>
          </w:p>
        </w:tc>
        <w:tc>
          <w:tcPr>
            <w:tcW w:w="1008"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1459.25</w:t>
            </w:r>
          </w:p>
          <w:p w:rsidR="008E25CF" w:rsidRPr="008E25CF" w:rsidRDefault="008E25CF" w:rsidP="008E25CF">
            <w:pPr>
              <w:jc w:val="both"/>
              <w:rPr>
                <w:rFonts w:ascii="Times New Roman" w:hAnsi="Times New Roman"/>
                <w:sz w:val="24"/>
                <w:szCs w:val="24"/>
              </w:rPr>
            </w:pP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1091.343</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1061.72</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955.69</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902.60</w:t>
            </w:r>
          </w:p>
        </w:tc>
        <w:tc>
          <w:tcPr>
            <w:tcW w:w="1080"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769.29</w:t>
            </w:r>
          </w:p>
        </w:tc>
        <w:tc>
          <w:tcPr>
            <w:tcW w:w="1082" w:type="dxa"/>
            <w:tcBorders>
              <w:top w:val="single" w:sz="4" w:space="0" w:color="auto"/>
              <w:left w:val="nil"/>
              <w:bottom w:val="nil"/>
              <w:right w:val="nil"/>
            </w:tcBorders>
          </w:tcPr>
          <w:p w:rsidR="008E25CF" w:rsidRPr="008E25CF" w:rsidRDefault="008E25CF" w:rsidP="008E25CF">
            <w:pPr>
              <w:jc w:val="both"/>
              <w:rPr>
                <w:rFonts w:ascii="Times New Roman" w:hAnsi="Times New Roman"/>
                <w:sz w:val="24"/>
                <w:szCs w:val="24"/>
              </w:rPr>
            </w:pPr>
          </w:p>
          <w:p w:rsidR="008E25CF" w:rsidRPr="008E25CF" w:rsidRDefault="008E25CF" w:rsidP="008E25CF">
            <w:pPr>
              <w:jc w:val="both"/>
              <w:rPr>
                <w:rFonts w:ascii="Times New Roman" w:hAnsi="Times New Roman"/>
                <w:sz w:val="24"/>
                <w:szCs w:val="24"/>
              </w:rPr>
            </w:pPr>
            <w:r w:rsidRPr="008E25CF">
              <w:rPr>
                <w:rFonts w:ascii="Times New Roman" w:hAnsi="Times New Roman"/>
                <w:sz w:val="24"/>
                <w:szCs w:val="24"/>
              </w:rPr>
              <w:t>600.35</w:t>
            </w:r>
          </w:p>
        </w:tc>
      </w:tr>
      <w:tr w:rsidR="008E25CF" w:rsidRPr="008E25CF" w:rsidTr="005A76BB">
        <w:tc>
          <w:tcPr>
            <w:tcW w:w="1872" w:type="dxa"/>
            <w:tcBorders>
              <w:top w:val="nil"/>
              <w:left w:val="nil"/>
              <w:bottom w:val="nil"/>
              <w:right w:val="nil"/>
            </w:tcBorders>
          </w:tcPr>
          <w:p w:rsidR="008E25CF" w:rsidRPr="008E25CF" w:rsidRDefault="008E25CF" w:rsidP="008E25CF">
            <w:pPr>
              <w:jc w:val="both"/>
              <w:rPr>
                <w:rFonts w:ascii="Times New Roman" w:hAnsi="Times New Roman"/>
                <w:sz w:val="24"/>
                <w:szCs w:val="24"/>
              </w:rPr>
            </w:pPr>
            <w:proofErr w:type="spellStart"/>
            <w:r w:rsidRPr="008E25CF">
              <w:rPr>
                <w:rFonts w:ascii="Times New Roman" w:hAnsi="Times New Roman"/>
                <w:bCs/>
                <w:color w:val="000000"/>
                <w:sz w:val="24"/>
                <w:szCs w:val="24"/>
              </w:rPr>
              <w:t>ΔG</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r w:rsidRPr="008E25CF">
              <w:rPr>
                <w:rFonts w:ascii="Times New Roman" w:hAnsi="Times New Roman"/>
                <w:color w:val="000000"/>
                <w:sz w:val="24"/>
                <w:szCs w:val="24"/>
              </w:rPr>
              <w:t>-4.097</w:t>
            </w:r>
          </w:p>
          <w:p w:rsidR="008E25CF" w:rsidRPr="008E25CF" w:rsidRDefault="008E25CF" w:rsidP="008E25CF">
            <w:pPr>
              <w:jc w:val="both"/>
              <w:rPr>
                <w:rFonts w:ascii="Times New Roman" w:hAnsi="Times New Roman"/>
                <w:sz w:val="24"/>
                <w:szCs w:val="24"/>
              </w:rPr>
            </w:pP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-4.07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-4.195</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-4.27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-4.37</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-4.397</w:t>
            </w:r>
          </w:p>
        </w:tc>
        <w:tc>
          <w:tcPr>
            <w:tcW w:w="1082" w:type="dxa"/>
            <w:tcBorders>
              <w:top w:val="nil"/>
              <w:left w:val="nil"/>
              <w:bottom w:val="nil"/>
              <w:right w:val="nil"/>
            </w:tcBorders>
          </w:tcPr>
          <w:p w:rsidR="008E25CF" w:rsidRPr="008E25CF" w:rsidRDefault="008E25CF" w:rsidP="008E25CF">
            <w:pPr>
              <w:jc w:val="both"/>
              <w:rPr>
                <w:rFonts w:ascii="Times New Roman" w:hAnsi="Times New Roman"/>
                <w:b/>
                <w:sz w:val="24"/>
                <w:szCs w:val="24"/>
              </w:rPr>
            </w:pPr>
            <w:r w:rsidRPr="008E25CF">
              <w:rPr>
                <w:rFonts w:ascii="Times New Roman" w:hAnsi="Times New Roman"/>
                <w:color w:val="000000"/>
                <w:sz w:val="24"/>
                <w:szCs w:val="24"/>
              </w:rPr>
              <w:t>-4.36</w:t>
            </w:r>
          </w:p>
        </w:tc>
      </w:tr>
      <w:tr w:rsidR="008E25CF" w:rsidRPr="008E25CF" w:rsidTr="005A76BB">
        <w:tc>
          <w:tcPr>
            <w:tcW w:w="1872" w:type="dxa"/>
            <w:tcBorders>
              <w:top w:val="nil"/>
              <w:left w:val="nil"/>
              <w:bottom w:val="nil"/>
              <w:right w:val="nil"/>
            </w:tcBorders>
            <w:vAlign w:val="center"/>
          </w:tcPr>
          <w:p w:rsidR="008E25CF" w:rsidRPr="008E25CF" w:rsidRDefault="008E25CF" w:rsidP="008E25CF">
            <w:pPr>
              <w:jc w:val="both"/>
              <w:rPr>
                <w:rFonts w:ascii="Times New Roman" w:hAnsi="Times New Roman"/>
                <w:bCs/>
                <w:color w:val="000000"/>
                <w:sz w:val="24"/>
                <w:szCs w:val="24"/>
              </w:rPr>
            </w:pPr>
            <w:proofErr w:type="spellStart"/>
            <w:r w:rsidRPr="008E25CF">
              <w:rPr>
                <w:rFonts w:ascii="Times New Roman" w:hAnsi="Times New Roman"/>
                <w:bCs/>
                <w:color w:val="000000"/>
                <w:sz w:val="24"/>
                <w:szCs w:val="24"/>
              </w:rPr>
              <w:t>ΔH</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nil"/>
              <w:right w:val="nil"/>
            </w:tcBorders>
          </w:tcPr>
          <w:p w:rsidR="008E25CF" w:rsidRPr="008E25CF" w:rsidRDefault="008E25CF" w:rsidP="008E25CF">
            <w:pPr>
              <w:jc w:val="both"/>
              <w:rPr>
                <w:rFonts w:ascii="Times New Roman" w:hAnsi="Times New Roman"/>
                <w:color w:val="000000"/>
                <w:sz w:val="24"/>
                <w:szCs w:val="24"/>
              </w:rPr>
            </w:pPr>
            <w:r w:rsidRPr="008E25CF">
              <w:rPr>
                <w:rFonts w:ascii="Times New Roman" w:hAnsi="Times New Roman"/>
                <w:color w:val="000000"/>
                <w:sz w:val="24"/>
                <w:szCs w:val="24"/>
              </w:rPr>
              <w:t>-2.42</w:t>
            </w:r>
          </w:p>
          <w:p w:rsidR="008E25CF" w:rsidRPr="008E25CF" w:rsidRDefault="008E25CF" w:rsidP="008E25CF">
            <w:pPr>
              <w:jc w:val="both"/>
              <w:rPr>
                <w:rFonts w:ascii="Times New Roman" w:hAnsi="Times New Roman"/>
                <w:sz w:val="24"/>
                <w:szCs w:val="24"/>
              </w:rPr>
            </w:pP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-2.42</w:t>
            </w:r>
          </w:p>
        </w:tc>
        <w:tc>
          <w:tcPr>
            <w:tcW w:w="1080" w:type="dxa"/>
            <w:tcBorders>
              <w:top w:val="nil"/>
              <w:left w:val="nil"/>
              <w:bottom w:val="nil"/>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-2.42</w:t>
            </w:r>
          </w:p>
        </w:tc>
        <w:tc>
          <w:tcPr>
            <w:tcW w:w="1082" w:type="dxa"/>
            <w:tcBorders>
              <w:top w:val="nil"/>
              <w:left w:val="nil"/>
              <w:bottom w:val="nil"/>
              <w:right w:val="nil"/>
            </w:tcBorders>
          </w:tcPr>
          <w:p w:rsidR="008E25CF" w:rsidRPr="008E25CF" w:rsidRDefault="008E25CF" w:rsidP="008E25CF">
            <w:pPr>
              <w:jc w:val="both"/>
              <w:rPr>
                <w:rFonts w:ascii="Times New Roman" w:hAnsi="Times New Roman"/>
                <w:b/>
                <w:sz w:val="24"/>
                <w:szCs w:val="24"/>
              </w:rPr>
            </w:pPr>
            <w:r w:rsidRPr="008E25CF">
              <w:rPr>
                <w:rFonts w:ascii="Times New Roman" w:hAnsi="Times New Roman"/>
                <w:color w:val="000000"/>
                <w:sz w:val="24"/>
                <w:szCs w:val="24"/>
              </w:rPr>
              <w:t>-2.42</w:t>
            </w:r>
          </w:p>
        </w:tc>
      </w:tr>
      <w:tr w:rsidR="008E25CF" w:rsidRPr="008E25CF" w:rsidTr="005A76BB">
        <w:tc>
          <w:tcPr>
            <w:tcW w:w="1872" w:type="dxa"/>
            <w:tcBorders>
              <w:top w:val="nil"/>
              <w:left w:val="nil"/>
              <w:bottom w:val="single" w:sz="4" w:space="0" w:color="auto"/>
              <w:right w:val="nil"/>
            </w:tcBorders>
            <w:vAlign w:val="center"/>
          </w:tcPr>
          <w:p w:rsidR="008E25CF" w:rsidRPr="008E25CF" w:rsidRDefault="008E25CF" w:rsidP="008E25CF">
            <w:pPr>
              <w:jc w:val="both"/>
              <w:rPr>
                <w:rFonts w:ascii="Times New Roman" w:hAnsi="Times New Roman"/>
                <w:bCs/>
                <w:color w:val="000000"/>
                <w:sz w:val="24"/>
                <w:szCs w:val="24"/>
              </w:rPr>
            </w:pPr>
            <w:proofErr w:type="spellStart"/>
            <w:r w:rsidRPr="008E25CF">
              <w:rPr>
                <w:rFonts w:ascii="Times New Roman" w:hAnsi="Times New Roman"/>
                <w:bCs/>
                <w:color w:val="000000"/>
                <w:sz w:val="24"/>
                <w:szCs w:val="24"/>
              </w:rPr>
              <w:t>ΔS</w:t>
            </w:r>
            <w:r w:rsidRPr="008E25CF">
              <w:rPr>
                <w:rFonts w:ascii="Times New Roman" w:hAnsi="Times New Roman"/>
                <w:bCs/>
                <w:color w:val="000000"/>
                <w:sz w:val="24"/>
                <w:szCs w:val="24"/>
                <w:vertAlign w:val="superscript"/>
              </w:rPr>
              <w:t>o</w:t>
            </w:r>
            <w:proofErr w:type="spellEnd"/>
            <w:r w:rsidRPr="008E25CF">
              <w:rPr>
                <w:rFonts w:ascii="Times New Roman" w:hAnsi="Times New Roman"/>
                <w:color w:val="000000"/>
                <w:sz w:val="24"/>
                <w:szCs w:val="24"/>
              </w:rPr>
              <w:t>(</w:t>
            </w:r>
            <w:proofErr w:type="spellStart"/>
            <w:r w:rsidRPr="008E25CF">
              <w:rPr>
                <w:rFonts w:ascii="Times New Roman" w:hAnsi="Times New Roman"/>
                <w:color w:val="000000"/>
                <w:sz w:val="24"/>
                <w:szCs w:val="24"/>
              </w:rPr>
              <w:t>kcal</w:t>
            </w:r>
            <w:r w:rsidRPr="008E25CF">
              <w:rPr>
                <w:rFonts w:ascii="Times New Roman" w:hAnsi="Times New Roman"/>
                <w:color w:val="000000"/>
                <w:sz w:val="24"/>
                <w:szCs w:val="24"/>
                <w:vertAlign w:val="subscript"/>
              </w:rPr>
              <w:t>th</w:t>
            </w:r>
            <w:proofErr w:type="spellEnd"/>
            <w:r w:rsidRPr="008E25CF">
              <w:rPr>
                <w:rFonts w:ascii="Times New Roman" w:hAnsi="Times New Roman"/>
                <w:color w:val="000000"/>
                <w:sz w:val="24"/>
                <w:szCs w:val="24"/>
              </w:rPr>
              <w:t xml:space="preserve"> mol</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 xml:space="preserve"> deg</w:t>
            </w:r>
            <w:r w:rsidRPr="008E25CF">
              <w:rPr>
                <w:rFonts w:ascii="Times New Roman" w:hAnsi="Times New Roman"/>
                <w:color w:val="000000"/>
                <w:sz w:val="24"/>
                <w:szCs w:val="24"/>
                <w:vertAlign w:val="superscript"/>
              </w:rPr>
              <w:t>-1</w:t>
            </w:r>
            <w:r w:rsidRPr="008E25CF">
              <w:rPr>
                <w:rFonts w:ascii="Times New Roman" w:hAnsi="Times New Roman"/>
                <w:color w:val="000000"/>
                <w:sz w:val="24"/>
                <w:szCs w:val="24"/>
              </w:rPr>
              <w:t>)</w:t>
            </w:r>
          </w:p>
        </w:tc>
        <w:tc>
          <w:tcPr>
            <w:tcW w:w="1008"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0" w:type="dxa"/>
            <w:tcBorders>
              <w:top w:val="nil"/>
              <w:left w:val="nil"/>
              <w:bottom w:val="single" w:sz="4" w:space="0" w:color="auto"/>
              <w:right w:val="nil"/>
            </w:tcBorders>
          </w:tcPr>
          <w:p w:rsidR="008E25CF" w:rsidRPr="008E25CF" w:rsidRDefault="008E25CF" w:rsidP="008E25CF">
            <w:pPr>
              <w:jc w:val="both"/>
              <w:rPr>
                <w:rFonts w:ascii="Times New Roman" w:hAnsi="Times New Roman"/>
                <w:sz w:val="24"/>
                <w:szCs w:val="24"/>
              </w:rPr>
            </w:pPr>
            <w:r w:rsidRPr="008E25CF">
              <w:rPr>
                <w:rFonts w:ascii="Times New Roman" w:hAnsi="Times New Roman"/>
                <w:color w:val="000000"/>
                <w:sz w:val="24"/>
                <w:szCs w:val="24"/>
              </w:rPr>
              <w:t>0.006</w:t>
            </w:r>
          </w:p>
        </w:tc>
        <w:tc>
          <w:tcPr>
            <w:tcW w:w="1082" w:type="dxa"/>
            <w:tcBorders>
              <w:top w:val="nil"/>
              <w:left w:val="nil"/>
              <w:bottom w:val="single" w:sz="4" w:space="0" w:color="auto"/>
              <w:right w:val="nil"/>
            </w:tcBorders>
          </w:tcPr>
          <w:p w:rsidR="008E25CF" w:rsidRPr="008E25CF" w:rsidRDefault="008E25CF" w:rsidP="008E25CF">
            <w:pPr>
              <w:jc w:val="both"/>
              <w:rPr>
                <w:rFonts w:ascii="Times New Roman" w:hAnsi="Times New Roman"/>
                <w:b/>
                <w:sz w:val="24"/>
                <w:szCs w:val="24"/>
              </w:rPr>
            </w:pPr>
            <w:r w:rsidRPr="008E25CF">
              <w:rPr>
                <w:rFonts w:ascii="Times New Roman" w:hAnsi="Times New Roman"/>
                <w:color w:val="000000"/>
                <w:sz w:val="24"/>
                <w:szCs w:val="24"/>
              </w:rPr>
              <w:t>0.006</w:t>
            </w:r>
          </w:p>
        </w:tc>
      </w:tr>
    </w:tbl>
    <w:p w:rsidR="008E25CF" w:rsidRPr="008E25CF" w:rsidRDefault="008E25CF" w:rsidP="008E25CF">
      <w:pPr>
        <w:spacing w:after="200" w:line="276" w:lineRule="auto"/>
        <w:jc w:val="both"/>
        <w:rPr>
          <w:rFonts w:ascii="Times New Roman" w:eastAsia="Calibri" w:hAnsi="Times New Roman" w:cs="Times New Roman"/>
          <w:b/>
          <w:sz w:val="24"/>
          <w:szCs w:val="24"/>
        </w:rPr>
      </w:pPr>
    </w:p>
    <w:p w:rsidR="008E25CF" w:rsidRDefault="008E25CF" w:rsidP="00DF2316">
      <w:pPr>
        <w:spacing w:after="200" w:line="360" w:lineRule="auto"/>
        <w:jc w:val="both"/>
        <w:rPr>
          <w:rFonts w:ascii="Times New Roman" w:eastAsia="Calibri" w:hAnsi="Times New Roman" w:cs="Times New Roman"/>
          <w:noProof/>
          <w:sz w:val="24"/>
          <w:szCs w:val="24"/>
        </w:rPr>
      </w:pPr>
    </w:p>
    <w:p w:rsidR="00A7495D" w:rsidRDefault="00A7495D" w:rsidP="00DF2316">
      <w:pPr>
        <w:spacing w:after="200" w:line="360" w:lineRule="auto"/>
        <w:jc w:val="both"/>
        <w:rPr>
          <w:rFonts w:ascii="Times New Roman" w:eastAsia="Calibri" w:hAnsi="Times New Roman" w:cs="Times New Roman"/>
          <w:noProof/>
          <w:sz w:val="24"/>
          <w:szCs w:val="24"/>
        </w:rPr>
      </w:pPr>
    </w:p>
    <w:p w:rsidR="00A7495D" w:rsidRPr="004F04A2" w:rsidRDefault="00A7495D" w:rsidP="00DF2316">
      <w:pPr>
        <w:spacing w:after="200" w:line="360" w:lineRule="auto"/>
        <w:jc w:val="both"/>
        <w:rPr>
          <w:rFonts w:ascii="Times New Roman" w:eastAsia="Calibri" w:hAnsi="Times New Roman" w:cs="Times New Roman"/>
          <w:noProof/>
          <w:sz w:val="24"/>
          <w:szCs w:val="24"/>
        </w:rPr>
      </w:pPr>
      <w:r w:rsidRPr="004F04A2">
        <w:rPr>
          <w:rFonts w:ascii="Times New Roman" w:eastAsia="Calibri" w:hAnsi="Times New Roman" w:cs="Times New Roman"/>
          <w:noProof/>
          <w:sz w:val="24"/>
          <w:szCs w:val="24"/>
        </w:rPr>
        <w:t xml:space="preserve">Reference </w:t>
      </w:r>
    </w:p>
    <w:p w:rsidR="00A7495D" w:rsidRPr="00DF384F" w:rsidRDefault="00A7495D" w:rsidP="00A7495D">
      <w:pPr>
        <w:pStyle w:val="EndNoteBibliography"/>
        <w:spacing w:after="0" w:line="360" w:lineRule="auto"/>
        <w:rPr>
          <w:rFonts w:ascii="Times New Roman" w:hAnsi="Times New Roman" w:cs="Times New Roman"/>
          <w:sz w:val="24"/>
          <w:szCs w:val="24"/>
        </w:rPr>
      </w:pPr>
      <w:r w:rsidRPr="00DF384F">
        <w:rPr>
          <w:rFonts w:ascii="Times New Roman" w:hAnsi="Times New Roman" w:cs="Times New Roman"/>
          <w:sz w:val="24"/>
          <w:szCs w:val="24"/>
        </w:rPr>
        <w:t xml:space="preserve">[1]  M.S. Shamsuddin, N.R.N. Yusoff, M.A. Sulaiman, Procedia Chemistry </w:t>
      </w:r>
      <w:r w:rsidRPr="00DF384F">
        <w:rPr>
          <w:rFonts w:ascii="Times New Roman" w:hAnsi="Times New Roman" w:cs="Times New Roman"/>
          <w:b/>
          <w:sz w:val="24"/>
          <w:szCs w:val="24"/>
        </w:rPr>
        <w:t>19</w:t>
      </w:r>
      <w:r w:rsidRPr="00DF384F">
        <w:rPr>
          <w:rFonts w:ascii="Times New Roman" w:hAnsi="Times New Roman" w:cs="Times New Roman"/>
          <w:sz w:val="24"/>
          <w:szCs w:val="24"/>
        </w:rPr>
        <w:t xml:space="preserve"> (2016) 558.</w:t>
      </w:r>
    </w:p>
    <w:p w:rsidR="00DF384F" w:rsidRDefault="00FF45E1" w:rsidP="00DF384F">
      <w:pPr>
        <w:pStyle w:val="EndNoteBibliography"/>
        <w:spacing w:after="0" w:line="360" w:lineRule="auto"/>
        <w:rPr>
          <w:rFonts w:ascii="Times New Roman" w:eastAsia="Calibri" w:hAnsi="Times New Roman" w:cs="Times New Roman"/>
          <w:sz w:val="24"/>
          <w:szCs w:val="24"/>
        </w:rPr>
      </w:pPr>
      <w:r>
        <w:rPr>
          <w:rFonts w:ascii="Times New Roman" w:hAnsi="Times New Roman" w:cs="Times New Roman"/>
          <w:sz w:val="24"/>
          <w:szCs w:val="24"/>
        </w:rPr>
        <w:t xml:space="preserve">[2]  </w:t>
      </w:r>
      <w:r w:rsidR="005251C4" w:rsidRPr="00DF384F">
        <w:rPr>
          <w:rFonts w:ascii="Times New Roman" w:eastAsia="Calibri" w:hAnsi="Times New Roman" w:cs="Times New Roman"/>
          <w:sz w:val="24"/>
          <w:szCs w:val="24"/>
        </w:rPr>
        <w:t>D.B. Kapgate, C. Das, D. Basu, A. Das, G. Heinrich, Rubber composites based on silane-</w:t>
      </w:r>
    </w:p>
    <w:p w:rsidR="005251C4" w:rsidRDefault="00DF384F" w:rsidP="00DF384F">
      <w:pPr>
        <w:pStyle w:val="EndNoteBibliography"/>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51C4" w:rsidRPr="00DF384F">
        <w:rPr>
          <w:rFonts w:ascii="Times New Roman" w:eastAsia="Calibri" w:hAnsi="Times New Roman" w:cs="Times New Roman"/>
          <w:sz w:val="24"/>
          <w:szCs w:val="24"/>
        </w:rPr>
        <w:t xml:space="preserve">treated </w:t>
      </w:r>
      <w:r w:rsidR="005251C4" w:rsidRPr="005251C4">
        <w:rPr>
          <w:rFonts w:ascii="Times New Roman" w:eastAsia="Calibri" w:hAnsi="Times New Roman" w:cs="Times New Roman"/>
          <w:sz w:val="24"/>
          <w:szCs w:val="24"/>
        </w:rPr>
        <w:t>stöber silica and nitrile rubber: Interaction of treated silica with rubber matrix, 2013.</w:t>
      </w:r>
    </w:p>
    <w:p w:rsidR="00FF45E1" w:rsidRPr="00DF384F" w:rsidRDefault="00FF45E1" w:rsidP="00DF384F">
      <w:pPr>
        <w:pStyle w:val="EndNoteBibliography"/>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DF384F">
        <w:rPr>
          <w:rFonts w:ascii="Times New Roman" w:eastAsia="Calibri" w:hAnsi="Times New Roman" w:cs="Times New Roman"/>
          <w:sz w:val="24"/>
          <w:szCs w:val="24"/>
        </w:rPr>
        <w:t xml:space="preserve">Z.A. Jamiu, T.A. Saleh, S.A. Ali, RSC Advances </w:t>
      </w:r>
      <w:r w:rsidRPr="00DF384F">
        <w:rPr>
          <w:rFonts w:ascii="Times New Roman" w:eastAsia="Calibri" w:hAnsi="Times New Roman" w:cs="Times New Roman"/>
          <w:b/>
          <w:sz w:val="24"/>
          <w:szCs w:val="24"/>
        </w:rPr>
        <w:t>5</w:t>
      </w:r>
      <w:r w:rsidRPr="00DF384F">
        <w:rPr>
          <w:rFonts w:ascii="Times New Roman" w:eastAsia="Calibri" w:hAnsi="Times New Roman" w:cs="Times New Roman"/>
          <w:sz w:val="24"/>
          <w:szCs w:val="24"/>
        </w:rPr>
        <w:t xml:space="preserve"> (2015) 42222.</w:t>
      </w:r>
    </w:p>
    <w:p w:rsidR="002B7328" w:rsidRPr="002B7328" w:rsidRDefault="002B7328" w:rsidP="002B7328">
      <w:pPr>
        <w:pStyle w:val="EndNoteBibliography"/>
        <w:spacing w:line="360" w:lineRule="auto"/>
        <w:rPr>
          <w:rFonts w:ascii="Times New Roman" w:eastAsia="Calibri" w:hAnsi="Times New Roman" w:cs="Times New Roman"/>
          <w:sz w:val="24"/>
          <w:szCs w:val="24"/>
        </w:rPr>
      </w:pPr>
      <w:r w:rsidRPr="00DF384F">
        <w:rPr>
          <w:rFonts w:ascii="Times New Roman" w:eastAsia="Calibri" w:hAnsi="Times New Roman" w:cs="Times New Roman"/>
          <w:sz w:val="24"/>
          <w:szCs w:val="24"/>
        </w:rPr>
        <w:t xml:space="preserve">[4]  Ç. Arpa, E. Başyilmaz, S. Bektaş, Ö. Genç, Y. Yürüm, Fuel Processing Technology </w:t>
      </w:r>
      <w:r w:rsidRPr="00DF384F">
        <w:rPr>
          <w:rFonts w:ascii="Times New Roman" w:eastAsia="Calibri" w:hAnsi="Times New Roman" w:cs="Times New Roman"/>
          <w:b/>
          <w:sz w:val="24"/>
          <w:szCs w:val="24"/>
        </w:rPr>
        <w:t>68</w:t>
      </w:r>
      <w:r w:rsidRPr="00DF384F">
        <w:rPr>
          <w:rFonts w:ascii="Times New Roman" w:eastAsia="Calibri" w:hAnsi="Times New Roman" w:cs="Times New Roman"/>
          <w:sz w:val="24"/>
          <w:szCs w:val="24"/>
        </w:rPr>
        <w:t xml:space="preserve"> (2000) 111</w:t>
      </w:r>
      <w:r w:rsidRPr="00DF384F">
        <w:rPr>
          <w:rFonts w:ascii="Times New Roman" w:eastAsia="Calibri" w:hAnsi="Times New Roman" w:cs="Times New Roman"/>
          <w:b/>
          <w:sz w:val="24"/>
          <w:szCs w:val="24"/>
        </w:rPr>
        <w:t>.</w:t>
      </w:r>
    </w:p>
    <w:p w:rsidR="002B7328" w:rsidRPr="005251C4" w:rsidRDefault="002B7328" w:rsidP="005251C4">
      <w:pPr>
        <w:spacing w:after="0" w:line="360" w:lineRule="auto"/>
        <w:rPr>
          <w:rFonts w:ascii="Times New Roman" w:eastAsia="Calibri" w:hAnsi="Times New Roman" w:cs="Times New Roman"/>
          <w:noProof/>
        </w:rPr>
      </w:pPr>
    </w:p>
    <w:p w:rsidR="005251C4" w:rsidRPr="005251C4" w:rsidRDefault="005251C4" w:rsidP="005251C4">
      <w:pPr>
        <w:pStyle w:val="EndNoteBibliography"/>
        <w:spacing w:after="0" w:line="360" w:lineRule="auto"/>
        <w:rPr>
          <w:rFonts w:ascii="Times New Roman" w:eastAsia="Calibri" w:hAnsi="Times New Roman" w:cs="Times New Roman"/>
        </w:rPr>
      </w:pPr>
    </w:p>
    <w:p w:rsidR="00A7495D" w:rsidRPr="003735BC" w:rsidRDefault="00A7495D" w:rsidP="00A7495D">
      <w:pPr>
        <w:pStyle w:val="EndNoteBibliography"/>
        <w:spacing w:after="0" w:line="360" w:lineRule="auto"/>
        <w:rPr>
          <w:rFonts w:ascii="Times New Roman" w:hAnsi="Times New Roman" w:cs="Times New Roman"/>
        </w:rPr>
      </w:pPr>
    </w:p>
    <w:p w:rsidR="00A7495D" w:rsidRPr="00DF2316" w:rsidRDefault="00A7495D" w:rsidP="00DF2316">
      <w:pPr>
        <w:spacing w:after="200" w:line="360" w:lineRule="auto"/>
        <w:jc w:val="both"/>
        <w:rPr>
          <w:rFonts w:ascii="Times New Roman" w:eastAsia="Calibri" w:hAnsi="Times New Roman" w:cs="Times New Roman"/>
          <w:noProof/>
          <w:sz w:val="24"/>
          <w:szCs w:val="24"/>
        </w:rPr>
      </w:pPr>
    </w:p>
    <w:sectPr w:rsidR="00A7495D" w:rsidRPr="00DF2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A0"/>
    <w:rsid w:val="000336B1"/>
    <w:rsid w:val="000413DF"/>
    <w:rsid w:val="001A2255"/>
    <w:rsid w:val="00206630"/>
    <w:rsid w:val="002B7328"/>
    <w:rsid w:val="003401FB"/>
    <w:rsid w:val="003710ED"/>
    <w:rsid w:val="004423C7"/>
    <w:rsid w:val="004E58A9"/>
    <w:rsid w:val="004F04A2"/>
    <w:rsid w:val="005251C4"/>
    <w:rsid w:val="007B54E8"/>
    <w:rsid w:val="00897C04"/>
    <w:rsid w:val="008E25CF"/>
    <w:rsid w:val="00937322"/>
    <w:rsid w:val="00A403A0"/>
    <w:rsid w:val="00A7495D"/>
    <w:rsid w:val="00A9078F"/>
    <w:rsid w:val="00BA05CB"/>
    <w:rsid w:val="00D9581B"/>
    <w:rsid w:val="00DF2316"/>
    <w:rsid w:val="00DF384F"/>
    <w:rsid w:val="00F3484A"/>
    <w:rsid w:val="00FF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3AD3C-F92B-47DF-AB98-0A90580A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E2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7495D"/>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A7495D"/>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38</cp:revision>
  <dcterms:created xsi:type="dcterms:W3CDTF">2018-10-23T12:04:00Z</dcterms:created>
  <dcterms:modified xsi:type="dcterms:W3CDTF">2018-11-08T08:28:00Z</dcterms:modified>
</cp:coreProperties>
</file>