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itle1"/>
        <w:spacing w:before="0" w:line="360" w:lineRule="auto"/>
        <w:jc w:val="center"/>
        <w:rPr>
          <w:rFonts w:ascii="Times New Roman" w:hAnsi="Times New Roman"/>
          <w:sz w:val="24"/>
          <w:szCs w:val="24"/>
          <w:lang w:val="en-US"/>
        </w:rPr>
      </w:pPr>
      <w:r>
        <w:rPr>
          <w:rFonts w:ascii="Times New Roman" w:hAnsi="Times New Roman"/>
          <w:i/>
          <w:sz w:val="24"/>
          <w:szCs w:val="24"/>
          <w:lang w:val="en-US"/>
        </w:rPr>
        <w:t xml:space="preserve">In </w:t>
      </w:r>
      <w:proofErr w:type="spellStart"/>
      <w:r>
        <w:rPr>
          <w:rFonts w:ascii="Times New Roman" w:hAnsi="Times New Roman"/>
          <w:i/>
          <w:sz w:val="24"/>
          <w:szCs w:val="24"/>
          <w:lang w:val="en-US"/>
        </w:rPr>
        <w:t>silico</w:t>
      </w:r>
      <w:proofErr w:type="spellEnd"/>
      <w:r>
        <w:rPr>
          <w:rFonts w:ascii="Times New Roman" w:hAnsi="Times New Roman"/>
          <w:sz w:val="24"/>
          <w:szCs w:val="24"/>
          <w:lang w:val="en-US"/>
        </w:rPr>
        <w:t xml:space="preserve"> studies on </w:t>
      </w:r>
      <w:r>
        <w:rPr>
          <w:rFonts w:ascii="Times New Roman" w:hAnsi="Times New Roman"/>
          <w:noProof/>
          <w:sz w:val="24"/>
          <w:szCs w:val="24"/>
          <w:lang w:val="en-US"/>
        </w:rPr>
        <w:t>smoothened</w:t>
      </w:r>
      <w:r>
        <w:rPr>
          <w:rFonts w:ascii="Times New Roman" w:hAnsi="Times New Roman"/>
          <w:sz w:val="24"/>
          <w:szCs w:val="24"/>
          <w:lang w:val="en-US"/>
        </w:rPr>
        <w:t xml:space="preserve"> human receptor and its antagonists in search of anticancer effects</w:t>
      </w:r>
    </w:p>
    <w:p>
      <w:pPr>
        <w:spacing w:after="0" w:line="360" w:lineRule="auto"/>
        <w:rPr>
          <w:rFonts w:ascii="Times New Roman" w:hAnsi="Times New Roman" w:cs="Times New Roman"/>
          <w:sz w:val="24"/>
          <w:szCs w:val="24"/>
          <w:lang w:eastAsia="ja-JP"/>
        </w:rPr>
      </w:pPr>
    </w:p>
    <w:p>
      <w:pPr>
        <w:pStyle w:val="Authors"/>
        <w:spacing w:before="0" w:after="0" w:line="360" w:lineRule="auto"/>
        <w:jc w:val="center"/>
        <w:rPr>
          <w:rFonts w:ascii="Times New Roman" w:hAnsi="Times New Roman"/>
          <w:noProof/>
          <w:sz w:val="24"/>
          <w:lang w:eastAsia="en-GB"/>
        </w:rPr>
        <w:sectPr>
          <w:headerReference w:type="default" r:id="rId7"/>
          <w:footerReference w:type="default" r:id="rId8"/>
          <w:footnotePr>
            <w:numFmt w:val="chicago"/>
          </w:footnotePr>
          <w:type w:val="continuous"/>
          <w:pgSz w:w="11906" w:h="16838"/>
          <w:pgMar w:top="1440" w:right="1440" w:bottom="1440" w:left="1440" w:header="708" w:footer="708" w:gutter="0"/>
          <w:cols w:space="708"/>
          <w:docGrid w:linePitch="360"/>
        </w:sectPr>
      </w:pPr>
      <w:r>
        <w:rPr>
          <w:rFonts w:ascii="Times New Roman" w:hAnsi="Times New Roman"/>
          <w:noProof/>
          <w:sz w:val="24"/>
          <w:lang w:eastAsia="en-GB"/>
        </w:rPr>
        <w:t>ANA BOROTA</w:t>
      </w:r>
      <w:r>
        <w:rPr>
          <w:rStyle w:val="FootnoteReference"/>
          <w:rFonts w:ascii="Times New Roman" w:hAnsi="Times New Roman"/>
          <w:noProof/>
          <w:sz w:val="24"/>
          <w:lang w:eastAsia="en-GB"/>
        </w:rPr>
        <w:footnoteReference w:customMarkFollows="1" w:id="1"/>
        <w:t>*</w:t>
      </w:r>
      <w:r>
        <w:rPr>
          <w:rFonts w:ascii="Times New Roman" w:hAnsi="Times New Roman"/>
          <w:noProof/>
          <w:sz w:val="24"/>
          <w:lang w:eastAsia="en-GB"/>
        </w:rPr>
        <w:t>, SORIN AVRAM, RAMONA CURPAN, ALINA BORA, DANIELA VARGA, LILIANA HALIP, and LUMINITA CRISAN</w:t>
      </w:r>
      <w:r>
        <w:rPr>
          <w:rStyle w:val="FootnoteReference"/>
          <w:rFonts w:ascii="Times New Roman" w:hAnsi="Times New Roman"/>
          <w:noProof/>
          <w:sz w:val="24"/>
          <w:lang w:eastAsia="en-GB"/>
        </w:rPr>
        <w:footnoteReference w:id="2"/>
      </w:r>
    </w:p>
    <w:p>
      <w:pPr>
        <w:pStyle w:val="Authors"/>
        <w:spacing w:before="0" w:after="0" w:line="360" w:lineRule="auto"/>
        <w:jc w:val="center"/>
        <w:rPr>
          <w:rFonts w:ascii="Times New Roman" w:hAnsi="Times New Roman"/>
          <w:noProof/>
          <w:sz w:val="24"/>
          <w:lang w:eastAsia="en-GB"/>
        </w:rPr>
      </w:pPr>
    </w:p>
    <w:p>
      <w:pPr>
        <w:pStyle w:val="Authors"/>
        <w:spacing w:before="0" w:after="0" w:line="360" w:lineRule="auto"/>
        <w:jc w:val="center"/>
        <w:rPr>
          <w:rFonts w:ascii="Times New Roman" w:hAnsi="Times New Roman"/>
          <w:i/>
          <w:sz w:val="24"/>
        </w:rPr>
      </w:pPr>
      <w:r>
        <w:rPr>
          <w:rFonts w:ascii="Times New Roman" w:hAnsi="Times New Roman"/>
          <w:i/>
          <w:sz w:val="24"/>
        </w:rPr>
        <w:t>“</w:t>
      </w:r>
      <w:proofErr w:type="spellStart"/>
      <w:r>
        <w:rPr>
          <w:rFonts w:ascii="Times New Roman" w:hAnsi="Times New Roman"/>
          <w:i/>
          <w:sz w:val="24"/>
        </w:rPr>
        <w:t>Coriolan</w:t>
      </w:r>
      <w:proofErr w:type="spellEnd"/>
      <w:r>
        <w:rPr>
          <w:rFonts w:ascii="Times New Roman" w:hAnsi="Times New Roman"/>
          <w:i/>
          <w:sz w:val="24"/>
        </w:rPr>
        <w:t xml:space="preserve"> </w:t>
      </w:r>
      <w:proofErr w:type="spellStart"/>
      <w:r>
        <w:rPr>
          <w:rFonts w:ascii="Times New Roman" w:hAnsi="Times New Roman"/>
          <w:i/>
          <w:sz w:val="24"/>
        </w:rPr>
        <w:t>Dragulescu</w:t>
      </w:r>
      <w:proofErr w:type="spellEnd"/>
      <w:r>
        <w:rPr>
          <w:rFonts w:ascii="Times New Roman" w:hAnsi="Times New Roman"/>
          <w:i/>
          <w:sz w:val="24"/>
        </w:rPr>
        <w:t xml:space="preserve">” Institute of Chemistry, Romanian Academy, 24 Mihai </w:t>
      </w:r>
      <w:proofErr w:type="spellStart"/>
      <w:r>
        <w:rPr>
          <w:rFonts w:ascii="Times New Roman" w:hAnsi="Times New Roman"/>
          <w:i/>
          <w:sz w:val="24"/>
        </w:rPr>
        <w:t>Viteazul</w:t>
      </w:r>
      <w:proofErr w:type="spellEnd"/>
      <w:r>
        <w:rPr>
          <w:rFonts w:ascii="Times New Roman" w:hAnsi="Times New Roman"/>
          <w:i/>
          <w:sz w:val="24"/>
        </w:rPr>
        <w:t xml:space="preserve"> Avenue, RO-300223, Timisoara, Romania</w:t>
      </w:r>
    </w:p>
    <w:p>
      <w:pPr>
        <w:pStyle w:val="Authors"/>
        <w:spacing w:before="0" w:after="0" w:line="360" w:lineRule="auto"/>
        <w:jc w:val="center"/>
        <w:rPr>
          <w:rFonts w:ascii="Times New Roman" w:hAnsi="Times New Roman"/>
          <w:i/>
          <w:sz w:val="24"/>
        </w:rPr>
      </w:pPr>
      <w:bookmarkStart w:id="0" w:name="_GoBack"/>
      <w:bookmarkEnd w:id="0"/>
    </w:p>
    <w:p>
      <w:pPr>
        <w:jc w:val="center"/>
        <w:rPr>
          <w:rFonts w:ascii="Times New Roman" w:hAnsi="Times New Roman" w:cs="Times New Roman"/>
          <w:b/>
          <w:sz w:val="24"/>
          <w:szCs w:val="24"/>
          <w:lang w:val="en-GB"/>
        </w:rPr>
      </w:pPr>
      <w:r>
        <w:rPr>
          <w:rFonts w:ascii="Times New Roman" w:hAnsi="Times New Roman" w:cs="Times New Roman"/>
          <w:b/>
          <w:sz w:val="24"/>
          <w:szCs w:val="24"/>
        </w:rPr>
        <w:t>Pharmacophore generation protocol</w:t>
      </w:r>
    </w:p>
    <w:p>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The ligands preparation</w:t>
      </w:r>
      <w:r>
        <w:rPr>
          <w:rFonts w:ascii="Times New Roman" w:hAnsi="Times New Roman" w:cs="Times New Roman"/>
          <w:sz w:val="24"/>
          <w:szCs w:val="24"/>
        </w:rPr>
        <w:t xml:space="preserve"> for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silico</w:t>
      </w:r>
      <w:proofErr w:type="spellEnd"/>
      <w:r>
        <w:rPr>
          <w:rFonts w:ascii="Times New Roman" w:hAnsi="Times New Roman" w:cs="Times New Roman"/>
          <w:sz w:val="24"/>
          <w:szCs w:val="24"/>
        </w:rPr>
        <w:t xml:space="preserve"> studies was </w:t>
      </w:r>
      <w:r>
        <w:rPr>
          <w:rFonts w:ascii="Times New Roman" w:hAnsi="Times New Roman" w:cs="Times New Roman"/>
          <w:noProof/>
          <w:sz w:val="24"/>
          <w:szCs w:val="24"/>
        </w:rPr>
        <w:t>realized</w:t>
      </w:r>
      <w:r>
        <w:rPr>
          <w:rFonts w:ascii="Times New Roman" w:hAnsi="Times New Roman" w:cs="Times New Roman"/>
          <w:sz w:val="24"/>
          <w:szCs w:val="24"/>
        </w:rPr>
        <w:t xml:space="preserve"> using </w:t>
      </w:r>
      <w:proofErr w:type="spellStart"/>
      <w:r>
        <w:rPr>
          <w:rFonts w:ascii="Times New Roman" w:hAnsi="Times New Roman" w:cs="Times New Roman"/>
          <w:sz w:val="24"/>
          <w:szCs w:val="24"/>
        </w:rPr>
        <w:t>LigPrep</w:t>
      </w:r>
      <w:proofErr w:type="spellEnd"/>
      <w:r>
        <w:rPr>
          <w:rFonts w:ascii="Times New Roman" w:hAnsi="Times New Roman" w:cs="Times New Roman"/>
          <w:sz w:val="24"/>
          <w:szCs w:val="24"/>
        </w:rPr>
        <w:t xml:space="preserve"> (</w:t>
      </w:r>
      <w:r>
        <w:rPr>
          <w:rFonts w:ascii="Times New Roman" w:hAnsi="Times New Roman" w:cs="Times New Roman"/>
          <w:sz w:val="24"/>
          <w:szCs w:val="24"/>
        </w:rPr>
        <w:t>Schrödinger</w:t>
      </w:r>
      <w:proofErr w:type="gramStart"/>
      <w:r>
        <w:rPr>
          <w:rFonts w:ascii="Times New Roman" w:hAnsi="Times New Roman" w:cs="Times New Roman"/>
          <w:sz w:val="24"/>
          <w:szCs w:val="24"/>
        </w:rPr>
        <w:t>)</w:t>
      </w:r>
      <w:r>
        <w:rPr>
          <w:rFonts w:ascii="Times New Roman" w:hAnsi="Times New Roman" w:cs="Times New Roman"/>
          <w:sz w:val="24"/>
          <w:szCs w:val="24"/>
          <w:vertAlign w:val="superscript"/>
        </w:rPr>
        <w:t>1</w:t>
      </w:r>
      <w:proofErr w:type="gramEnd"/>
      <w:r>
        <w:rPr>
          <w:rFonts w:ascii="Times New Roman" w:hAnsi="Times New Roman" w:cs="Times New Roman"/>
          <w:sz w:val="24"/>
          <w:szCs w:val="24"/>
        </w:rPr>
        <w:t xml:space="preserve">, by following the steps: optimization of the structures with the </w:t>
      </w:r>
      <w:r>
        <w:rPr>
          <w:rFonts w:ascii="Times New Roman" w:hAnsi="Times New Roman" w:cs="Times New Roman"/>
          <w:noProof/>
          <w:sz w:val="24"/>
          <w:szCs w:val="24"/>
        </w:rPr>
        <w:t>OPLS_2005</w:t>
      </w:r>
      <w:r>
        <w:rPr>
          <w:rFonts w:ascii="Times New Roman" w:hAnsi="Times New Roman" w:cs="Times New Roman"/>
          <w:sz w:val="24"/>
          <w:szCs w:val="24"/>
        </w:rPr>
        <w:t xml:space="preserve"> force field, ionization with </w:t>
      </w:r>
      <w:proofErr w:type="spellStart"/>
      <w:r>
        <w:rPr>
          <w:rFonts w:ascii="Times New Roman" w:hAnsi="Times New Roman" w:cs="Times New Roman"/>
          <w:sz w:val="24"/>
          <w:szCs w:val="24"/>
        </w:rPr>
        <w:t>Epik</w:t>
      </w:r>
      <w:proofErr w:type="spellEnd"/>
      <w:r>
        <w:rPr>
          <w:rFonts w:ascii="Times New Roman" w:hAnsi="Times New Roman" w:cs="Times New Roman"/>
          <w:sz w:val="24"/>
          <w:szCs w:val="24"/>
        </w:rPr>
        <w:t xml:space="preserve"> at pH=7.0, and generation of stereoisomers for the structures with unspecified </w:t>
      </w:r>
      <w:proofErr w:type="spellStart"/>
      <w:r>
        <w:rPr>
          <w:rFonts w:ascii="Times New Roman" w:hAnsi="Times New Roman" w:cs="Times New Roman"/>
          <w:sz w:val="24"/>
          <w:szCs w:val="24"/>
        </w:rPr>
        <w:t>chiralities</w:t>
      </w:r>
      <w:proofErr w:type="spellEnd"/>
      <w:r>
        <w:rPr>
          <w:rFonts w:ascii="Times New Roman" w:hAnsi="Times New Roman" w:cs="Times New Roman"/>
          <w:sz w:val="24"/>
          <w:szCs w:val="24"/>
        </w:rPr>
        <w:t>.</w:t>
      </w:r>
    </w:p>
    <w:p>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ConfGen</w:t>
      </w:r>
      <w:proofErr w:type="spellEnd"/>
      <w:r>
        <w:rPr>
          <w:rFonts w:ascii="Times New Roman" w:hAnsi="Times New Roman" w:cs="Times New Roman"/>
          <w:sz w:val="24"/>
          <w:szCs w:val="24"/>
        </w:rPr>
        <w:t xml:space="preserve"> </w:t>
      </w:r>
      <w:r>
        <w:rPr>
          <w:rFonts w:ascii="Times New Roman" w:hAnsi="Times New Roman" w:cs="Times New Roman"/>
          <w:sz w:val="24"/>
          <w:szCs w:val="24"/>
        </w:rPr>
        <w:t>(Schrödinger</w:t>
      </w:r>
      <w:proofErr w:type="gramStart"/>
      <w:r>
        <w:rPr>
          <w:rFonts w:ascii="Times New Roman" w:hAnsi="Times New Roman" w:cs="Times New Roman"/>
          <w:sz w:val="24"/>
          <w:szCs w:val="24"/>
        </w:rPr>
        <w:t>)</w:t>
      </w:r>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was engaged in the </w:t>
      </w:r>
      <w:r>
        <w:rPr>
          <w:rFonts w:ascii="Times New Roman" w:hAnsi="Times New Roman" w:cs="Times New Roman"/>
          <w:noProof/>
          <w:sz w:val="24"/>
          <w:szCs w:val="24"/>
        </w:rPr>
        <w:t>generation</w:t>
      </w:r>
      <w:r>
        <w:rPr>
          <w:rFonts w:ascii="Times New Roman" w:hAnsi="Times New Roman" w:cs="Times New Roman"/>
          <w:sz w:val="24"/>
          <w:szCs w:val="24"/>
        </w:rPr>
        <w:t xml:space="preserve"> of multiple conformers for each compound using default settings. The compounds were considered active if the pIC50 value is &gt; 6.3 and inactive if the </w:t>
      </w:r>
      <w:r>
        <w:rPr>
          <w:rFonts w:ascii="Times New Roman" w:hAnsi="Times New Roman" w:cs="Times New Roman"/>
          <w:noProof/>
          <w:sz w:val="24"/>
          <w:szCs w:val="24"/>
        </w:rPr>
        <w:t>pIC50</w:t>
      </w:r>
      <w:r>
        <w:rPr>
          <w:rFonts w:ascii="Times New Roman" w:hAnsi="Times New Roman" w:cs="Times New Roman"/>
          <w:sz w:val="24"/>
          <w:szCs w:val="24"/>
        </w:rPr>
        <w:t xml:space="preserve"> value is &lt;5.8. </w:t>
      </w:r>
      <w:r>
        <w:rPr>
          <w:rFonts w:ascii="Times New Roman" w:eastAsia="MS Mincho" w:hAnsi="Times New Roman" w:cs="Times New Roman"/>
          <w:sz w:val="24"/>
          <w:szCs w:val="24"/>
          <w:lang w:eastAsia="ja-JP"/>
        </w:rPr>
        <w:t>The maximum number of pharmacophore sites was set to four and all the active compounds matched the common pharmacophore hypotheses further obtained.</w:t>
      </w:r>
    </w:p>
    <w:p>
      <w:pPr>
        <w:rPr>
          <w:lang w:val="en-GB"/>
        </w:rPr>
      </w:pPr>
    </w:p>
    <w:p>
      <w:pPr>
        <w:spacing w:after="0" w:line="360" w:lineRule="auto"/>
        <w:jc w:val="both"/>
        <w:rPr>
          <w:rFonts w:ascii="Times New Roman" w:hAnsi="Times New Roman" w:cs="Times New Roman"/>
          <w:sz w:val="24"/>
          <w:szCs w:val="24"/>
        </w:rPr>
      </w:pPr>
      <w:r>
        <w:rPr>
          <w:rFonts w:ascii="Times New Roman" w:eastAsia="MS Mincho" w:hAnsi="Times New Roman" w:cs="Times New Roman"/>
          <w:sz w:val="24"/>
          <w:szCs w:val="24"/>
          <w:lang w:eastAsia="ja-JP"/>
        </w:rPr>
        <w:t>TABLE S1. The structure of the compounds and their experimental SMO inhibitory activity expressed in logarithmic units (pIC</w:t>
      </w:r>
      <w:r>
        <w:rPr>
          <w:rFonts w:ascii="Times New Roman" w:eastAsia="MS Mincho" w:hAnsi="Times New Roman" w:cs="Times New Roman"/>
          <w:sz w:val="24"/>
          <w:szCs w:val="24"/>
          <w:vertAlign w:val="subscript"/>
          <w:lang w:eastAsia="ja-JP"/>
        </w:rPr>
        <w:t>50</w:t>
      </w:r>
      <w:proofErr w:type="gramStart"/>
      <w:r>
        <w:rPr>
          <w:rFonts w:ascii="Times New Roman" w:eastAsia="MS Mincho" w:hAnsi="Times New Roman" w:cs="Times New Roman"/>
          <w:sz w:val="24"/>
          <w:szCs w:val="24"/>
          <w:lang w:eastAsia="ja-JP"/>
        </w:rPr>
        <w:t>)</w:t>
      </w:r>
      <w:r>
        <w:rPr>
          <w:rFonts w:ascii="Times New Roman" w:eastAsia="MS Mincho" w:hAnsi="Times New Roman" w:cs="Times New Roman"/>
          <w:sz w:val="24"/>
          <w:szCs w:val="24"/>
          <w:vertAlign w:val="superscript"/>
          <w:lang w:eastAsia="ja-JP"/>
        </w:rPr>
        <w:t>[</w:t>
      </w:r>
      <w:proofErr w:type="gramEnd"/>
      <w:r>
        <w:rPr>
          <w:rFonts w:ascii="Times New Roman" w:eastAsia="MS Mincho" w:hAnsi="Times New Roman" w:cs="Times New Roman"/>
          <w:sz w:val="24"/>
          <w:szCs w:val="24"/>
          <w:vertAlign w:val="superscript"/>
          <w:lang w:eastAsia="ja-JP"/>
        </w:rPr>
        <w:t>a]</w:t>
      </w:r>
      <w:r>
        <w:rPr>
          <w:rFonts w:ascii="Times New Roman" w:eastAsia="MS Mincho" w:hAnsi="Times New Roman" w:cs="Times New Roman"/>
          <w:sz w:val="24"/>
          <w:szCs w:val="24"/>
          <w:lang w:eastAsia="ja-JP"/>
        </w:rPr>
        <w:t>.</w:t>
      </w:r>
    </w:p>
    <w:tbl>
      <w:tblPr>
        <w:tblpPr w:leftFromText="180" w:rightFromText="180" w:vertAnchor="text" w:tblpY="1"/>
        <w:tblOverlap w:val="never"/>
        <w:tblW w:w="5063" w:type="pct"/>
        <w:tblLook w:val="01E0" w:firstRow="1" w:lastRow="1" w:firstColumn="1" w:lastColumn="1" w:noHBand="0" w:noVBand="0"/>
      </w:tblPr>
      <w:tblGrid>
        <w:gridCol w:w="601"/>
        <w:gridCol w:w="141"/>
        <w:gridCol w:w="3153"/>
        <w:gridCol w:w="801"/>
        <w:gridCol w:w="733"/>
        <w:gridCol w:w="3024"/>
        <w:gridCol w:w="687"/>
      </w:tblGrid>
      <w:tr>
        <w:tc>
          <w:tcPr>
            <w:tcW w:w="329" w:type="pct"/>
            <w:tcBorders>
              <w:top w:val="single" w:sz="8" w:space="0" w:color="auto"/>
              <w:bottom w:val="single" w:sz="4" w:space="0" w:color="auto"/>
            </w:tcBorders>
          </w:tcPr>
          <w:p>
            <w:pPr>
              <w:spacing w:after="0" w:line="360" w:lineRule="auto"/>
              <w:jc w:val="both"/>
              <w:rPr>
                <w:rFonts w:ascii="Times New Roman" w:eastAsia="MS Mincho" w:hAnsi="Times New Roman" w:cs="Times New Roman"/>
                <w:sz w:val="20"/>
                <w:szCs w:val="20"/>
                <w:lang w:eastAsia="ja-JP"/>
              </w:rPr>
            </w:pPr>
            <w:r>
              <w:rPr>
                <w:rFonts w:ascii="Times New Roman" w:eastAsia="Calibri" w:hAnsi="Times New Roman" w:cs="Times New Roman"/>
                <w:sz w:val="20"/>
                <w:szCs w:val="20"/>
                <w:lang w:bidi="hi-IN"/>
              </w:rPr>
              <w:t>No</w:t>
            </w:r>
          </w:p>
        </w:tc>
        <w:tc>
          <w:tcPr>
            <w:tcW w:w="1802" w:type="pct"/>
            <w:gridSpan w:val="2"/>
            <w:tcBorders>
              <w:top w:val="single" w:sz="8" w:space="0" w:color="auto"/>
              <w:bottom w:val="single" w:sz="4" w:space="0" w:color="auto"/>
            </w:tcBorders>
          </w:tcPr>
          <w:p>
            <w:pPr>
              <w:spacing w:after="0" w:line="360" w:lineRule="auto"/>
              <w:jc w:val="both"/>
              <w:rPr>
                <w:rFonts w:ascii="Times New Roman" w:eastAsia="MS Mincho" w:hAnsi="Times New Roman" w:cs="Times New Roman"/>
                <w:sz w:val="20"/>
                <w:szCs w:val="20"/>
                <w:lang w:eastAsia="ja-JP"/>
              </w:rPr>
            </w:pPr>
            <w:r>
              <w:rPr>
                <w:rFonts w:ascii="Times New Roman" w:eastAsia="Calibri" w:hAnsi="Times New Roman" w:cs="Times New Roman"/>
                <w:sz w:val="20"/>
                <w:szCs w:val="20"/>
                <w:lang w:bidi="hi-IN"/>
              </w:rPr>
              <w:t>Structure</w:t>
            </w:r>
          </w:p>
        </w:tc>
        <w:tc>
          <w:tcPr>
            <w:tcW w:w="438" w:type="pct"/>
            <w:tcBorders>
              <w:top w:val="single" w:sz="8" w:space="0" w:color="auto"/>
              <w:bottom w:val="single" w:sz="4" w:space="0" w:color="auto"/>
            </w:tcBorders>
          </w:tcPr>
          <w:p>
            <w:pPr>
              <w:spacing w:after="0" w:line="360" w:lineRule="auto"/>
              <w:jc w:val="both"/>
              <w:rPr>
                <w:rFonts w:ascii="Times New Roman" w:eastAsia="MS Mincho" w:hAnsi="Times New Roman" w:cs="Times New Roman"/>
                <w:sz w:val="20"/>
                <w:szCs w:val="20"/>
                <w:lang w:eastAsia="ja-JP"/>
              </w:rPr>
            </w:pPr>
            <w:r>
              <w:rPr>
                <w:rFonts w:ascii="Times New Roman" w:eastAsia="Calibri" w:hAnsi="Times New Roman" w:cs="Times New Roman"/>
                <w:sz w:val="20"/>
                <w:szCs w:val="20"/>
                <w:lang w:bidi="hi-IN"/>
              </w:rPr>
              <w:t>pIC</w:t>
            </w:r>
            <w:r>
              <w:rPr>
                <w:rFonts w:ascii="Times New Roman" w:eastAsia="Calibri" w:hAnsi="Times New Roman" w:cs="Times New Roman"/>
                <w:sz w:val="20"/>
                <w:szCs w:val="20"/>
                <w:vertAlign w:val="subscript"/>
                <w:lang w:bidi="hi-IN"/>
              </w:rPr>
              <w:t>50</w:t>
            </w:r>
          </w:p>
        </w:tc>
        <w:tc>
          <w:tcPr>
            <w:tcW w:w="401" w:type="pct"/>
            <w:tcBorders>
              <w:top w:val="single" w:sz="8" w:space="0" w:color="auto"/>
              <w:bottom w:val="single" w:sz="4" w:space="0" w:color="auto"/>
            </w:tcBorders>
          </w:tcPr>
          <w:p>
            <w:pPr>
              <w:spacing w:after="0" w:line="360" w:lineRule="auto"/>
              <w:jc w:val="both"/>
              <w:rPr>
                <w:rFonts w:ascii="Times New Roman" w:eastAsia="MS Mincho" w:hAnsi="Times New Roman" w:cs="Times New Roman"/>
                <w:sz w:val="20"/>
                <w:szCs w:val="20"/>
                <w:lang w:eastAsia="ja-JP"/>
              </w:rPr>
            </w:pPr>
            <w:r>
              <w:rPr>
                <w:rFonts w:ascii="Times New Roman" w:eastAsia="Calibri" w:hAnsi="Times New Roman" w:cs="Times New Roman"/>
                <w:sz w:val="20"/>
                <w:szCs w:val="20"/>
                <w:lang w:bidi="hi-IN"/>
              </w:rPr>
              <w:t>No</w:t>
            </w:r>
          </w:p>
        </w:tc>
        <w:tc>
          <w:tcPr>
            <w:tcW w:w="1654" w:type="pct"/>
            <w:tcBorders>
              <w:top w:val="single" w:sz="8" w:space="0" w:color="auto"/>
              <w:bottom w:val="single" w:sz="4" w:space="0" w:color="auto"/>
            </w:tcBorders>
          </w:tcPr>
          <w:p>
            <w:pPr>
              <w:spacing w:after="0" w:line="360" w:lineRule="auto"/>
              <w:jc w:val="both"/>
              <w:rPr>
                <w:rFonts w:ascii="Times New Roman" w:eastAsia="MS Mincho" w:hAnsi="Times New Roman" w:cs="Times New Roman"/>
                <w:sz w:val="20"/>
                <w:szCs w:val="20"/>
                <w:lang w:eastAsia="ja-JP"/>
              </w:rPr>
            </w:pPr>
            <w:r>
              <w:rPr>
                <w:rFonts w:ascii="Times New Roman" w:eastAsia="Calibri" w:hAnsi="Times New Roman" w:cs="Times New Roman"/>
                <w:sz w:val="20"/>
                <w:szCs w:val="20"/>
                <w:lang w:bidi="hi-IN"/>
              </w:rPr>
              <w:t>Structure</w:t>
            </w:r>
          </w:p>
        </w:tc>
        <w:tc>
          <w:tcPr>
            <w:tcW w:w="376" w:type="pct"/>
            <w:tcBorders>
              <w:top w:val="single" w:sz="8" w:space="0" w:color="auto"/>
              <w:bottom w:val="single" w:sz="4" w:space="0" w:color="auto"/>
            </w:tcBorders>
          </w:tcPr>
          <w:p>
            <w:pPr>
              <w:spacing w:after="0" w:line="360" w:lineRule="auto"/>
              <w:jc w:val="both"/>
              <w:rPr>
                <w:rFonts w:ascii="Times New Roman" w:eastAsia="MS Mincho" w:hAnsi="Times New Roman" w:cs="Times New Roman"/>
                <w:sz w:val="20"/>
                <w:szCs w:val="20"/>
                <w:lang w:eastAsia="ja-JP"/>
              </w:rPr>
            </w:pPr>
            <w:r>
              <w:rPr>
                <w:rFonts w:ascii="Times New Roman" w:eastAsia="Calibri" w:hAnsi="Times New Roman" w:cs="Times New Roman"/>
                <w:sz w:val="20"/>
                <w:szCs w:val="20"/>
                <w:lang w:bidi="hi-IN"/>
              </w:rPr>
              <w:t>pIC</w:t>
            </w:r>
            <w:r>
              <w:rPr>
                <w:rFonts w:ascii="Times New Roman" w:eastAsia="Calibri" w:hAnsi="Times New Roman" w:cs="Times New Roman"/>
                <w:sz w:val="20"/>
                <w:szCs w:val="20"/>
                <w:vertAlign w:val="subscript"/>
                <w:lang w:bidi="hi-IN"/>
              </w:rPr>
              <w:t>50</w:t>
            </w:r>
          </w:p>
        </w:tc>
      </w:tr>
      <w:tr>
        <w:tc>
          <w:tcPr>
            <w:tcW w:w="406" w:type="pct"/>
            <w:gridSpan w:val="2"/>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1</w:t>
            </w:r>
          </w:p>
        </w:tc>
        <w:tc>
          <w:tcPr>
            <w:tcW w:w="1725"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491"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50.5pt" o:ole="">
                  <v:imagedata r:id="rId9" o:title=""/>
                </v:shape>
                <o:OLEObject Type="Embed" ProgID="MDLDrawOLE.MDLDrawObject.1" ShapeID="_x0000_i1025" DrawAspect="Content" ObjectID="_1623823570" r:id="rId10">
                  <o:FieldCodes>\s</o:FieldCodes>
                </o:OLEObject>
              </w:object>
            </w:r>
          </w:p>
        </w:tc>
        <w:tc>
          <w:tcPr>
            <w:tcW w:w="438"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color w:val="000000"/>
                <w:sz w:val="20"/>
                <w:szCs w:val="20"/>
              </w:rPr>
              <w:t>6.161</w:t>
            </w:r>
          </w:p>
        </w:tc>
        <w:tc>
          <w:tcPr>
            <w:tcW w:w="401"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2</w:t>
            </w:r>
            <w:r>
              <w:rPr>
                <w:rFonts w:ascii="Times New Roman" w:eastAsia="Calibri" w:hAnsi="Times New Roman" w:cs="Times New Roman"/>
                <w:sz w:val="20"/>
                <w:szCs w:val="20"/>
                <w:vertAlign w:val="superscript"/>
                <w:lang w:bidi="hi-IN"/>
              </w:rPr>
              <w:t>[b]</w:t>
            </w:r>
          </w:p>
        </w:tc>
        <w:tc>
          <w:tcPr>
            <w:tcW w:w="1654"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1935" w:dyaOrig="660">
                <v:shape id="_x0000_i1026" type="#_x0000_t75" style="width:115pt;height:43pt" o:ole="">
                  <v:imagedata r:id="rId11" o:title=""/>
                </v:shape>
                <o:OLEObject Type="Embed" ProgID="MDLDrawOLE.MDLDrawObject.1" ShapeID="_x0000_i1026" DrawAspect="Content" ObjectID="_1623823571" r:id="rId12">
                  <o:FieldCodes>\s</o:FieldCodes>
                </o:OLEObject>
              </w:object>
            </w:r>
          </w:p>
        </w:tc>
        <w:tc>
          <w:tcPr>
            <w:tcW w:w="376"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5.568</w:t>
            </w:r>
          </w:p>
        </w:tc>
      </w:tr>
      <w:tr>
        <w:tc>
          <w:tcPr>
            <w:tcW w:w="406" w:type="pct"/>
            <w:gridSpan w:val="2"/>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3</w:t>
            </w:r>
          </w:p>
        </w:tc>
        <w:tc>
          <w:tcPr>
            <w:tcW w:w="1725"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011" w:dyaOrig="765">
                <v:shape id="_x0000_i1027" type="#_x0000_t75" style="width:122.5pt;height:43pt" o:ole="">
                  <v:imagedata r:id="rId13" o:title=""/>
                </v:shape>
                <o:OLEObject Type="Embed" ProgID="MDLDrawOLE.MDLDrawObject.1" ShapeID="_x0000_i1027" DrawAspect="Content" ObjectID="_1623823572" r:id="rId14">
                  <o:FieldCodes>\s</o:FieldCodes>
                </o:OLEObject>
              </w:object>
            </w:r>
          </w:p>
        </w:tc>
        <w:tc>
          <w:tcPr>
            <w:tcW w:w="438"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5.886</w:t>
            </w:r>
          </w:p>
        </w:tc>
        <w:tc>
          <w:tcPr>
            <w:tcW w:w="401"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4</w:t>
            </w:r>
          </w:p>
        </w:tc>
        <w:tc>
          <w:tcPr>
            <w:tcW w:w="1654"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011" w:dyaOrig="646">
                <v:shape id="_x0000_i1028" type="#_x0000_t75" style="width:122.5pt;height:36pt" o:ole="">
                  <v:imagedata r:id="rId15" o:title=""/>
                </v:shape>
                <o:OLEObject Type="Embed" ProgID="MDLDrawOLE.MDLDrawObject.1" ShapeID="_x0000_i1028" DrawAspect="Content" ObjectID="_1623823573" r:id="rId16">
                  <o:FieldCodes>\s</o:FieldCodes>
                </o:OLEObject>
              </w:object>
            </w:r>
          </w:p>
        </w:tc>
        <w:tc>
          <w:tcPr>
            <w:tcW w:w="376"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5.283</w:t>
            </w:r>
          </w:p>
        </w:tc>
      </w:tr>
      <w:tr>
        <w:tc>
          <w:tcPr>
            <w:tcW w:w="406" w:type="pct"/>
            <w:gridSpan w:val="2"/>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position w:val="5"/>
                <w:sz w:val="20"/>
                <w:szCs w:val="20"/>
                <w:lang w:bidi="hi-IN"/>
              </w:rPr>
            </w:pPr>
            <w:r>
              <w:rPr>
                <w:rFonts w:ascii="Times New Roman" w:eastAsia="Calibri" w:hAnsi="Times New Roman" w:cs="Times New Roman"/>
                <w:sz w:val="20"/>
                <w:szCs w:val="20"/>
                <w:lang w:bidi="hi-IN"/>
              </w:rPr>
              <w:t>5</w:t>
            </w:r>
            <w:r>
              <w:rPr>
                <w:rFonts w:ascii="Times New Roman" w:eastAsia="Calibri" w:hAnsi="Times New Roman" w:cs="Times New Roman"/>
                <w:sz w:val="20"/>
                <w:szCs w:val="20"/>
                <w:vertAlign w:val="superscript"/>
                <w:lang w:bidi="hi-IN"/>
              </w:rPr>
              <w:t>[b][c]</w:t>
            </w:r>
          </w:p>
        </w:tc>
        <w:tc>
          <w:tcPr>
            <w:tcW w:w="1725"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011" w:dyaOrig="615">
                <v:shape id="_x0000_i1029" type="#_x0000_t75" style="width:122.5pt;height:36pt" o:ole="">
                  <v:imagedata r:id="rId17" o:title=""/>
                </v:shape>
                <o:OLEObject Type="Embed" ProgID="MDLDrawOLE.MDLDrawObject.1" ShapeID="_x0000_i1029" DrawAspect="Content" ObjectID="_1623823574" r:id="rId18">
                  <o:FieldCodes>\s</o:FieldCodes>
                </o:OLEObject>
              </w:object>
            </w:r>
          </w:p>
        </w:tc>
        <w:tc>
          <w:tcPr>
            <w:tcW w:w="438"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5.387</w:t>
            </w:r>
          </w:p>
        </w:tc>
        <w:tc>
          <w:tcPr>
            <w:tcW w:w="401"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6</w:t>
            </w:r>
            <w:r>
              <w:rPr>
                <w:rFonts w:ascii="Times New Roman" w:eastAsia="Calibri" w:hAnsi="Times New Roman" w:cs="Times New Roman"/>
                <w:sz w:val="20"/>
                <w:szCs w:val="20"/>
                <w:vertAlign w:val="superscript"/>
                <w:lang w:bidi="hi-IN"/>
              </w:rPr>
              <w:t>[b]</w:t>
            </w:r>
          </w:p>
        </w:tc>
        <w:tc>
          <w:tcPr>
            <w:tcW w:w="1654"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011" w:dyaOrig="675">
                <v:shape id="_x0000_i1030" type="#_x0000_t75" style="width:122.5pt;height:43pt" o:ole="">
                  <v:imagedata r:id="rId19" o:title=""/>
                </v:shape>
                <o:OLEObject Type="Embed" ProgID="MDLDrawOLE.MDLDrawObject.1" ShapeID="_x0000_i1030" DrawAspect="Content" ObjectID="_1623823575" r:id="rId20">
                  <o:FieldCodes>\s</o:FieldCodes>
                </o:OLEObject>
              </w:object>
            </w:r>
          </w:p>
        </w:tc>
        <w:tc>
          <w:tcPr>
            <w:tcW w:w="376"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6.568</w:t>
            </w:r>
          </w:p>
        </w:tc>
      </w:tr>
      <w:tr>
        <w:tc>
          <w:tcPr>
            <w:tcW w:w="406" w:type="pct"/>
            <w:gridSpan w:val="2"/>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lastRenderedPageBreak/>
              <w:t>7</w:t>
            </w:r>
          </w:p>
        </w:tc>
        <w:tc>
          <w:tcPr>
            <w:tcW w:w="1725"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011" w:dyaOrig="675">
                <v:shape id="_x0000_i1031" type="#_x0000_t75" style="width:122.5pt;height:43pt" o:ole="">
                  <v:imagedata r:id="rId21" o:title=""/>
                </v:shape>
                <o:OLEObject Type="Embed" ProgID="MDLDrawOLE.MDLDrawObject.1" ShapeID="_x0000_i1031" DrawAspect="Content" ObjectID="_1623823576" r:id="rId22">
                  <o:FieldCodes>\s</o:FieldCodes>
                </o:OLEObject>
              </w:object>
            </w:r>
          </w:p>
        </w:tc>
        <w:tc>
          <w:tcPr>
            <w:tcW w:w="438"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6.102</w:t>
            </w:r>
          </w:p>
        </w:tc>
        <w:tc>
          <w:tcPr>
            <w:tcW w:w="401"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position w:val="5"/>
                <w:sz w:val="20"/>
                <w:szCs w:val="20"/>
                <w:lang w:bidi="hi-IN"/>
              </w:rPr>
            </w:pPr>
            <w:r>
              <w:rPr>
                <w:rFonts w:ascii="Times New Roman" w:eastAsia="Calibri" w:hAnsi="Times New Roman" w:cs="Times New Roman"/>
                <w:position w:val="5"/>
                <w:sz w:val="20"/>
                <w:szCs w:val="20"/>
                <w:lang w:bidi="hi-IN"/>
              </w:rPr>
              <w:t>8</w:t>
            </w:r>
          </w:p>
        </w:tc>
        <w:tc>
          <w:tcPr>
            <w:tcW w:w="1654"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011" w:dyaOrig="691">
                <v:shape id="_x0000_i1032" type="#_x0000_t75" style="width:122.5pt;height:43pt" o:ole="">
                  <v:imagedata r:id="rId23" o:title=""/>
                </v:shape>
                <o:OLEObject Type="Embed" ProgID="MDLDrawOLE.MDLDrawObject.1" ShapeID="_x0000_i1032" DrawAspect="Content" ObjectID="_1623823577" r:id="rId24">
                  <o:FieldCodes>\s</o:FieldCodes>
                </o:OLEObject>
              </w:object>
            </w:r>
          </w:p>
        </w:tc>
        <w:tc>
          <w:tcPr>
            <w:tcW w:w="376"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6.259</w:t>
            </w:r>
          </w:p>
        </w:tc>
      </w:tr>
      <w:tr>
        <w:tc>
          <w:tcPr>
            <w:tcW w:w="406" w:type="pct"/>
            <w:gridSpan w:val="2"/>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9</w:t>
            </w:r>
          </w:p>
        </w:tc>
        <w:tc>
          <w:tcPr>
            <w:tcW w:w="1725"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noProof/>
                <w:sz w:val="20"/>
                <w:szCs w:val="20"/>
              </w:rPr>
            </w:pPr>
            <w:r>
              <w:rPr>
                <w:rFonts w:ascii="Times New Roman" w:eastAsia="Calibri" w:hAnsi="Times New Roman" w:cs="Times New Roman"/>
                <w:sz w:val="20"/>
                <w:szCs w:val="20"/>
              </w:rPr>
              <w:object w:dxaOrig="2011" w:dyaOrig="781">
                <v:shape id="_x0000_i1033" type="#_x0000_t75" style="width:122.5pt;height:43pt" o:ole="">
                  <v:imagedata r:id="rId25" o:title=""/>
                </v:shape>
                <o:OLEObject Type="Embed" ProgID="MDLDrawOLE.MDLDrawObject.1" ShapeID="_x0000_i1033" DrawAspect="Content" ObjectID="_1623823578" r:id="rId26">
                  <o:FieldCodes>\s</o:FieldCodes>
                </o:OLEObject>
              </w:object>
            </w:r>
          </w:p>
        </w:tc>
        <w:tc>
          <w:tcPr>
            <w:tcW w:w="438"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5.920</w:t>
            </w:r>
          </w:p>
        </w:tc>
        <w:tc>
          <w:tcPr>
            <w:tcW w:w="401"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10</w:t>
            </w:r>
          </w:p>
        </w:tc>
        <w:tc>
          <w:tcPr>
            <w:tcW w:w="1654"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491" w:dyaOrig="916">
                <v:shape id="_x0000_i1034" type="#_x0000_t75" style="width:122.5pt;height:43pt" o:ole="">
                  <v:imagedata r:id="rId27" o:title=""/>
                </v:shape>
                <o:OLEObject Type="Embed" ProgID="MDLDrawOLE.MDLDrawObject.1" ShapeID="_x0000_i1034" DrawAspect="Content" ObjectID="_1623823579" r:id="rId28">
                  <o:FieldCodes>\s</o:FieldCodes>
                </o:OLEObject>
              </w:object>
            </w:r>
          </w:p>
        </w:tc>
        <w:tc>
          <w:tcPr>
            <w:tcW w:w="376"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5.823</w:t>
            </w:r>
          </w:p>
        </w:tc>
      </w:tr>
      <w:tr>
        <w:tc>
          <w:tcPr>
            <w:tcW w:w="406" w:type="pct"/>
            <w:gridSpan w:val="2"/>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11</w:t>
            </w:r>
            <w:r>
              <w:rPr>
                <w:rFonts w:ascii="Times New Roman" w:eastAsia="Calibri" w:hAnsi="Times New Roman" w:cs="Times New Roman"/>
                <w:sz w:val="20"/>
                <w:szCs w:val="20"/>
                <w:vertAlign w:val="superscript"/>
                <w:lang w:bidi="hi-IN"/>
              </w:rPr>
              <w:t>[c][b]</w:t>
            </w:r>
          </w:p>
        </w:tc>
        <w:tc>
          <w:tcPr>
            <w:tcW w:w="1725"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806" w:dyaOrig="781">
                <v:shape id="_x0000_i1035" type="#_x0000_t75" style="width:2in;height:36pt" o:ole="">
                  <v:imagedata r:id="rId29" o:title=""/>
                </v:shape>
                <o:OLEObject Type="Embed" ProgID="MDLDrawOLE.MDLDrawObject.1" ShapeID="_x0000_i1035" DrawAspect="Content" ObjectID="_1623823580" r:id="rId30">
                  <o:FieldCodes>\s</o:FieldCodes>
                </o:OLEObject>
              </w:object>
            </w:r>
          </w:p>
        </w:tc>
        <w:tc>
          <w:tcPr>
            <w:tcW w:w="438"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6.522</w:t>
            </w:r>
          </w:p>
        </w:tc>
        <w:tc>
          <w:tcPr>
            <w:tcW w:w="401"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12</w:t>
            </w:r>
            <w:r>
              <w:rPr>
                <w:rFonts w:ascii="Times New Roman" w:eastAsia="Calibri" w:hAnsi="Times New Roman" w:cs="Times New Roman"/>
                <w:sz w:val="20"/>
                <w:szCs w:val="20"/>
                <w:vertAlign w:val="superscript"/>
                <w:lang w:bidi="hi-IN"/>
              </w:rPr>
              <w:t>[b]</w:t>
            </w:r>
          </w:p>
        </w:tc>
        <w:tc>
          <w:tcPr>
            <w:tcW w:w="1654"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131" w:dyaOrig="631">
                <v:shape id="_x0000_i1036" type="#_x0000_t75" style="width:129.5pt;height:36pt" o:ole="">
                  <v:imagedata r:id="rId31" o:title=""/>
                </v:shape>
                <o:OLEObject Type="Embed" ProgID="MDLDrawOLE.MDLDrawObject.1" ShapeID="_x0000_i1036" DrawAspect="Content" ObjectID="_1623823581" r:id="rId32">
                  <o:FieldCodes>\s</o:FieldCodes>
                </o:OLEObject>
              </w:object>
            </w:r>
          </w:p>
        </w:tc>
        <w:tc>
          <w:tcPr>
            <w:tcW w:w="376"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6.455</w:t>
            </w:r>
          </w:p>
        </w:tc>
      </w:tr>
      <w:tr>
        <w:tc>
          <w:tcPr>
            <w:tcW w:w="406" w:type="pct"/>
            <w:gridSpan w:val="2"/>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position w:val="5"/>
                <w:sz w:val="20"/>
                <w:szCs w:val="20"/>
                <w:lang w:bidi="hi-IN"/>
              </w:rPr>
            </w:pPr>
            <w:r>
              <w:rPr>
                <w:rFonts w:ascii="Times New Roman" w:eastAsia="Calibri" w:hAnsi="Times New Roman" w:cs="Times New Roman"/>
                <w:sz w:val="20"/>
                <w:szCs w:val="20"/>
                <w:lang w:bidi="hi-IN"/>
              </w:rPr>
              <w:t>13</w:t>
            </w:r>
            <w:r>
              <w:rPr>
                <w:rFonts w:ascii="Times New Roman" w:eastAsia="Calibri" w:hAnsi="Times New Roman" w:cs="Times New Roman"/>
                <w:sz w:val="20"/>
                <w:szCs w:val="20"/>
                <w:vertAlign w:val="superscript"/>
                <w:lang w:bidi="hi-IN"/>
              </w:rPr>
              <w:t>[b]</w:t>
            </w:r>
          </w:p>
        </w:tc>
        <w:tc>
          <w:tcPr>
            <w:tcW w:w="1725"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131" w:dyaOrig="646">
                <v:shape id="_x0000_i1037" type="#_x0000_t75" style="width:129.5pt;height:36pt" o:ole="">
                  <v:imagedata r:id="rId33" o:title=""/>
                </v:shape>
                <o:OLEObject Type="Embed" ProgID="MDLDrawOLE.MDLDrawObject.1" ShapeID="_x0000_i1037" DrawAspect="Content" ObjectID="_1623823582" r:id="rId34">
                  <o:FieldCodes>\s</o:FieldCodes>
                </o:OLEObject>
              </w:object>
            </w:r>
          </w:p>
        </w:tc>
        <w:tc>
          <w:tcPr>
            <w:tcW w:w="438"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7.060</w:t>
            </w:r>
          </w:p>
        </w:tc>
        <w:tc>
          <w:tcPr>
            <w:tcW w:w="401"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position w:val="5"/>
                <w:sz w:val="20"/>
                <w:szCs w:val="20"/>
                <w:lang w:bidi="hi-IN"/>
              </w:rPr>
            </w:pPr>
            <w:r>
              <w:rPr>
                <w:rFonts w:ascii="Times New Roman" w:eastAsia="Calibri" w:hAnsi="Times New Roman" w:cs="Times New Roman"/>
                <w:sz w:val="20"/>
                <w:szCs w:val="20"/>
                <w:lang w:bidi="hi-IN"/>
              </w:rPr>
              <w:t>14</w:t>
            </w:r>
            <w:r>
              <w:rPr>
                <w:rFonts w:ascii="Times New Roman" w:eastAsia="Calibri" w:hAnsi="Times New Roman" w:cs="Times New Roman"/>
                <w:sz w:val="20"/>
                <w:szCs w:val="20"/>
                <w:vertAlign w:val="superscript"/>
                <w:lang w:bidi="hi-IN"/>
              </w:rPr>
              <w:t>[b]</w:t>
            </w:r>
          </w:p>
        </w:tc>
        <w:tc>
          <w:tcPr>
            <w:tcW w:w="1654"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506" w:dyaOrig="691">
                <v:shape id="_x0000_i1038" type="#_x0000_t75" style="width:122.5pt;height:36pt" o:ole="">
                  <v:imagedata r:id="rId35" o:title=""/>
                </v:shape>
                <o:OLEObject Type="Embed" ProgID="MDLDrawOLE.MDLDrawObject.1" ShapeID="_x0000_i1038" DrawAspect="Content" ObjectID="_1623823583" r:id="rId36">
                  <o:FieldCodes>\s</o:FieldCodes>
                </o:OLEObject>
              </w:object>
            </w:r>
          </w:p>
        </w:tc>
        <w:tc>
          <w:tcPr>
            <w:tcW w:w="376"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6.356</w:t>
            </w:r>
          </w:p>
        </w:tc>
      </w:tr>
      <w:tr>
        <w:tc>
          <w:tcPr>
            <w:tcW w:w="406" w:type="pct"/>
            <w:gridSpan w:val="2"/>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position w:val="5"/>
                <w:sz w:val="20"/>
                <w:szCs w:val="20"/>
                <w:lang w:bidi="hi-IN"/>
              </w:rPr>
            </w:pPr>
            <w:r>
              <w:rPr>
                <w:rFonts w:ascii="Times New Roman" w:eastAsia="Calibri" w:hAnsi="Times New Roman" w:cs="Times New Roman"/>
                <w:sz w:val="20"/>
                <w:szCs w:val="20"/>
                <w:lang w:bidi="hi-IN"/>
              </w:rPr>
              <w:t>15</w:t>
            </w:r>
            <w:r>
              <w:rPr>
                <w:rFonts w:ascii="Times New Roman" w:eastAsia="Calibri" w:hAnsi="Times New Roman" w:cs="Times New Roman"/>
                <w:sz w:val="20"/>
                <w:szCs w:val="20"/>
                <w:vertAlign w:val="superscript"/>
                <w:lang w:bidi="hi-IN"/>
              </w:rPr>
              <w:t>[c][b]</w:t>
            </w:r>
          </w:p>
        </w:tc>
        <w:tc>
          <w:tcPr>
            <w:tcW w:w="1725"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251" w:dyaOrig="631">
                <v:shape id="_x0000_i1039" type="#_x0000_t75" style="width:137pt;height:36pt" o:ole="">
                  <v:imagedata r:id="rId37" o:title=""/>
                </v:shape>
                <o:OLEObject Type="Embed" ProgID="MDLDrawOLE.MDLDrawObject.1" ShapeID="_x0000_i1039" DrawAspect="Content" ObjectID="_1623823584" r:id="rId38">
                  <o:FieldCodes>\s</o:FieldCodes>
                </o:OLEObject>
              </w:object>
            </w:r>
          </w:p>
        </w:tc>
        <w:tc>
          <w:tcPr>
            <w:tcW w:w="438"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6.376</w:t>
            </w:r>
          </w:p>
        </w:tc>
        <w:tc>
          <w:tcPr>
            <w:tcW w:w="401"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16</w:t>
            </w:r>
            <w:r>
              <w:rPr>
                <w:rFonts w:ascii="Times New Roman" w:eastAsia="Calibri" w:hAnsi="Times New Roman" w:cs="Times New Roman"/>
                <w:sz w:val="20"/>
                <w:szCs w:val="20"/>
                <w:vertAlign w:val="superscript"/>
                <w:lang w:bidi="hi-IN"/>
              </w:rPr>
              <w:t>[b]</w:t>
            </w:r>
          </w:p>
        </w:tc>
        <w:tc>
          <w:tcPr>
            <w:tcW w:w="1654"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251" w:dyaOrig="660">
                <v:shape id="_x0000_i1040" type="#_x0000_t75" style="width:137pt;height:43pt" o:ole="">
                  <v:imagedata r:id="rId39" o:title=""/>
                </v:shape>
                <o:OLEObject Type="Embed" ProgID="MDLDrawOLE.MDLDrawObject.1" ShapeID="_x0000_i1040" DrawAspect="Content" ObjectID="_1623823585" r:id="rId40">
                  <o:FieldCodes>\s</o:FieldCodes>
                </o:OLEObject>
              </w:object>
            </w:r>
          </w:p>
        </w:tc>
        <w:tc>
          <w:tcPr>
            <w:tcW w:w="376"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6.568</w:t>
            </w:r>
          </w:p>
        </w:tc>
      </w:tr>
      <w:tr>
        <w:tc>
          <w:tcPr>
            <w:tcW w:w="406" w:type="pct"/>
            <w:gridSpan w:val="2"/>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17</w:t>
            </w:r>
            <w:r>
              <w:rPr>
                <w:rFonts w:ascii="Times New Roman" w:eastAsia="Calibri" w:hAnsi="Times New Roman" w:cs="Times New Roman"/>
                <w:sz w:val="20"/>
                <w:szCs w:val="20"/>
                <w:vertAlign w:val="superscript"/>
                <w:lang w:bidi="hi-IN"/>
              </w:rPr>
              <w:t>[c][b]</w:t>
            </w:r>
          </w:p>
        </w:tc>
        <w:tc>
          <w:tcPr>
            <w:tcW w:w="1725"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251" w:dyaOrig="660">
                <v:shape id="_x0000_i1041" type="#_x0000_t75" style="width:137pt;height:43pt" o:ole="">
                  <v:imagedata r:id="rId41" o:title=""/>
                </v:shape>
                <o:OLEObject Type="Embed" ProgID="MDLDrawOLE.MDLDrawObject.1" ShapeID="_x0000_i1041" DrawAspect="Content" ObjectID="_1623823586" r:id="rId42">
                  <o:FieldCodes>\s</o:FieldCodes>
                </o:OLEObject>
              </w:object>
            </w:r>
          </w:p>
        </w:tc>
        <w:tc>
          <w:tcPr>
            <w:tcW w:w="438"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6.698</w:t>
            </w:r>
          </w:p>
        </w:tc>
        <w:tc>
          <w:tcPr>
            <w:tcW w:w="401"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position w:val="5"/>
                <w:sz w:val="20"/>
                <w:szCs w:val="20"/>
                <w:lang w:bidi="hi-IN"/>
              </w:rPr>
            </w:pPr>
            <w:r>
              <w:rPr>
                <w:rFonts w:ascii="Times New Roman" w:eastAsia="Calibri" w:hAnsi="Times New Roman" w:cs="Times New Roman"/>
                <w:sz w:val="20"/>
                <w:szCs w:val="20"/>
                <w:lang w:bidi="hi-IN"/>
              </w:rPr>
              <w:t>18</w:t>
            </w:r>
            <w:r>
              <w:rPr>
                <w:rFonts w:ascii="Times New Roman" w:eastAsia="Calibri" w:hAnsi="Times New Roman" w:cs="Times New Roman"/>
                <w:sz w:val="20"/>
                <w:szCs w:val="20"/>
                <w:vertAlign w:val="superscript"/>
                <w:lang w:bidi="hi-IN"/>
              </w:rPr>
              <w:t>[b]</w:t>
            </w:r>
          </w:p>
        </w:tc>
        <w:tc>
          <w:tcPr>
            <w:tcW w:w="1654"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251" w:dyaOrig="751">
                <v:shape id="_x0000_i1042" type="#_x0000_t75" style="width:137pt;height:43pt" o:ole="">
                  <v:imagedata r:id="rId43" o:title=""/>
                </v:shape>
                <o:OLEObject Type="Embed" ProgID="MDLDrawOLE.MDLDrawObject.1" ShapeID="_x0000_i1042" DrawAspect="Content" ObjectID="_1623823587" r:id="rId44">
                  <o:FieldCodes>\s</o:FieldCodes>
                </o:OLEObject>
              </w:object>
            </w:r>
          </w:p>
        </w:tc>
        <w:tc>
          <w:tcPr>
            <w:tcW w:w="376"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6.420</w:t>
            </w:r>
          </w:p>
        </w:tc>
      </w:tr>
      <w:tr>
        <w:tc>
          <w:tcPr>
            <w:tcW w:w="406" w:type="pct"/>
            <w:gridSpan w:val="2"/>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19</w:t>
            </w:r>
            <w:r>
              <w:rPr>
                <w:rFonts w:ascii="Times New Roman" w:eastAsia="Calibri" w:hAnsi="Times New Roman" w:cs="Times New Roman"/>
                <w:sz w:val="20"/>
                <w:szCs w:val="20"/>
                <w:vertAlign w:val="superscript"/>
                <w:lang w:bidi="hi-IN"/>
              </w:rPr>
              <w:t>[b]</w:t>
            </w:r>
          </w:p>
        </w:tc>
        <w:tc>
          <w:tcPr>
            <w:tcW w:w="1725"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251" w:dyaOrig="721">
                <v:shape id="_x0000_i1043" type="#_x0000_t75" style="width:137pt;height:43pt" o:ole="">
                  <v:imagedata r:id="rId45" o:title=""/>
                </v:shape>
                <o:OLEObject Type="Embed" ProgID="MDLDrawOLE.MDLDrawObject.1" ShapeID="_x0000_i1043" DrawAspect="Content" ObjectID="_1623823588" r:id="rId46">
                  <o:FieldCodes>\s</o:FieldCodes>
                </o:OLEObject>
              </w:object>
            </w:r>
          </w:p>
        </w:tc>
        <w:tc>
          <w:tcPr>
            <w:tcW w:w="438"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6.568</w:t>
            </w:r>
          </w:p>
        </w:tc>
        <w:tc>
          <w:tcPr>
            <w:tcW w:w="401"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20</w:t>
            </w:r>
          </w:p>
        </w:tc>
        <w:tc>
          <w:tcPr>
            <w:tcW w:w="1654"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251" w:dyaOrig="691">
                <v:shape id="_x0000_i1044" type="#_x0000_t75" style="width:137pt;height:43pt" o:ole="">
                  <v:imagedata r:id="rId47" o:title=""/>
                </v:shape>
                <o:OLEObject Type="Embed" ProgID="MDLDrawOLE.MDLDrawObject.1" ShapeID="_x0000_i1044" DrawAspect="Content" ObjectID="_1623823589" r:id="rId48">
                  <o:FieldCodes>\s</o:FieldCodes>
                </o:OLEObject>
              </w:object>
            </w:r>
          </w:p>
        </w:tc>
        <w:tc>
          <w:tcPr>
            <w:tcW w:w="376"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6.130</w:t>
            </w:r>
          </w:p>
        </w:tc>
      </w:tr>
      <w:tr>
        <w:tc>
          <w:tcPr>
            <w:tcW w:w="406" w:type="pct"/>
            <w:gridSpan w:val="2"/>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21</w:t>
            </w:r>
          </w:p>
        </w:tc>
        <w:tc>
          <w:tcPr>
            <w:tcW w:w="1725"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noProof/>
                <w:sz w:val="20"/>
                <w:szCs w:val="20"/>
              </w:rPr>
            </w:pPr>
            <w:r>
              <w:rPr>
                <w:rFonts w:ascii="Times New Roman" w:eastAsia="Calibri" w:hAnsi="Times New Roman" w:cs="Times New Roman"/>
                <w:sz w:val="20"/>
                <w:szCs w:val="20"/>
              </w:rPr>
              <w:object w:dxaOrig="2251" w:dyaOrig="660">
                <v:shape id="_x0000_i1045" type="#_x0000_t75" style="width:137pt;height:43pt" o:ole="">
                  <v:imagedata r:id="rId49" o:title=""/>
                </v:shape>
                <o:OLEObject Type="Embed" ProgID="MDLDrawOLE.MDLDrawObject.1" ShapeID="_x0000_i1045" DrawAspect="Content" ObjectID="_1623823590" r:id="rId50">
                  <o:FieldCodes>\s</o:FieldCodes>
                </o:OLEObject>
              </w:object>
            </w:r>
          </w:p>
        </w:tc>
        <w:tc>
          <w:tcPr>
            <w:tcW w:w="438"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6.017</w:t>
            </w:r>
          </w:p>
        </w:tc>
        <w:tc>
          <w:tcPr>
            <w:tcW w:w="401"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22</w:t>
            </w:r>
            <w:r>
              <w:rPr>
                <w:rFonts w:ascii="Times New Roman" w:eastAsia="Calibri" w:hAnsi="Times New Roman" w:cs="Times New Roman"/>
                <w:sz w:val="20"/>
                <w:szCs w:val="20"/>
                <w:vertAlign w:val="superscript"/>
                <w:lang w:bidi="hi-IN"/>
              </w:rPr>
              <w:t>[b]</w:t>
            </w:r>
          </w:p>
        </w:tc>
        <w:tc>
          <w:tcPr>
            <w:tcW w:w="1654"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265" w:dyaOrig="841">
                <v:shape id="_x0000_i1046" type="#_x0000_t75" style="width:137pt;height:50.5pt" o:ole="">
                  <v:imagedata r:id="rId51" o:title=""/>
                </v:shape>
                <o:OLEObject Type="Embed" ProgID="MDLDrawOLE.MDLDrawObject.1" ShapeID="_x0000_i1046" DrawAspect="Content" ObjectID="_1623823591" r:id="rId52">
                  <o:FieldCodes>\s</o:FieldCodes>
                </o:OLEObject>
              </w:object>
            </w:r>
          </w:p>
        </w:tc>
        <w:tc>
          <w:tcPr>
            <w:tcW w:w="376"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5.387</w:t>
            </w:r>
          </w:p>
        </w:tc>
      </w:tr>
      <w:tr>
        <w:tc>
          <w:tcPr>
            <w:tcW w:w="406" w:type="pct"/>
            <w:gridSpan w:val="2"/>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23</w:t>
            </w:r>
            <w:r>
              <w:rPr>
                <w:rFonts w:ascii="Times New Roman" w:eastAsia="Calibri" w:hAnsi="Times New Roman" w:cs="Times New Roman"/>
                <w:sz w:val="20"/>
                <w:szCs w:val="20"/>
                <w:vertAlign w:val="superscript"/>
                <w:lang w:bidi="hi-IN"/>
              </w:rPr>
              <w:t>[c]</w:t>
            </w:r>
          </w:p>
        </w:tc>
        <w:tc>
          <w:tcPr>
            <w:tcW w:w="1725"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rPr>
              <w:object w:dxaOrig="2251" w:dyaOrig="765">
                <v:shape id="_x0000_i1047" type="#_x0000_t75" style="width:137pt;height:43pt" o:ole="">
                  <v:imagedata r:id="rId53" o:title=""/>
                </v:shape>
                <o:OLEObject Type="Embed" ProgID="MDLDrawOLE.MDLDrawObject.1" ShapeID="_x0000_i1047" DrawAspect="Content" ObjectID="_1623823592" r:id="rId54">
                  <o:FieldCodes>\s</o:FieldCodes>
                </o:OLEObject>
              </w:object>
            </w:r>
          </w:p>
        </w:tc>
        <w:tc>
          <w:tcPr>
            <w:tcW w:w="438"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6.040</w:t>
            </w:r>
          </w:p>
        </w:tc>
        <w:tc>
          <w:tcPr>
            <w:tcW w:w="401"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24</w:t>
            </w:r>
            <w:r>
              <w:rPr>
                <w:rFonts w:ascii="Times New Roman" w:eastAsia="Calibri" w:hAnsi="Times New Roman" w:cs="Times New Roman"/>
                <w:sz w:val="20"/>
                <w:szCs w:val="20"/>
                <w:vertAlign w:val="superscript"/>
                <w:lang w:bidi="hi-IN"/>
              </w:rPr>
              <w:t>[b]</w:t>
            </w:r>
          </w:p>
        </w:tc>
        <w:tc>
          <w:tcPr>
            <w:tcW w:w="1654"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noProof/>
                <w:sz w:val="20"/>
                <w:szCs w:val="20"/>
              </w:rPr>
            </w:pPr>
            <w:r>
              <w:rPr>
                <w:rFonts w:ascii="Times New Roman" w:eastAsia="Calibri" w:hAnsi="Times New Roman" w:cs="Times New Roman"/>
                <w:sz w:val="20"/>
                <w:szCs w:val="20"/>
              </w:rPr>
              <w:object w:dxaOrig="2251" w:dyaOrig="675">
                <v:shape id="_x0000_i1048" type="#_x0000_t75" style="width:137pt;height:43pt" o:ole="">
                  <v:imagedata r:id="rId55" o:title=""/>
                </v:shape>
                <o:OLEObject Type="Embed" ProgID="MDLDrawOLE.MDLDrawObject.1" ShapeID="_x0000_i1048" DrawAspect="Content" ObjectID="_1623823593" r:id="rId56">
                  <o:FieldCodes>\s</o:FieldCodes>
                </o:OLEObject>
              </w:object>
            </w:r>
          </w:p>
        </w:tc>
        <w:tc>
          <w:tcPr>
            <w:tcW w:w="376" w:type="pct"/>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5.744</w:t>
            </w:r>
          </w:p>
        </w:tc>
      </w:tr>
      <w:tr>
        <w:tc>
          <w:tcPr>
            <w:tcW w:w="406" w:type="pct"/>
            <w:gridSpan w:val="2"/>
            <w:tcBorders>
              <w:bottom w:val="single" w:sz="8" w:space="0" w:color="auto"/>
            </w:tcBorders>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25</w:t>
            </w:r>
          </w:p>
        </w:tc>
        <w:tc>
          <w:tcPr>
            <w:tcW w:w="1725" w:type="pct"/>
            <w:tcBorders>
              <w:bottom w:val="single" w:sz="8" w:space="0" w:color="auto"/>
            </w:tcBorders>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object w:dxaOrig="2251" w:dyaOrig="886">
                <v:shape id="_x0000_i1049" type="#_x0000_t75" style="width:137pt;height:50.5pt" o:ole="">
                  <v:imagedata r:id="rId57" o:title=""/>
                </v:shape>
                <o:OLEObject Type="Embed" ProgID="MDLDrawOLE.MDLDrawObject.1" ShapeID="_x0000_i1049" DrawAspect="Content" ObjectID="_1623823594" r:id="rId58">
                  <o:FieldCodes>\s</o:FieldCodes>
                </o:OLEObject>
              </w:object>
            </w:r>
          </w:p>
        </w:tc>
        <w:tc>
          <w:tcPr>
            <w:tcW w:w="438" w:type="pct"/>
            <w:tcBorders>
              <w:bottom w:val="single" w:sz="8" w:space="0" w:color="auto"/>
            </w:tcBorders>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6.050</w:t>
            </w:r>
          </w:p>
        </w:tc>
        <w:tc>
          <w:tcPr>
            <w:tcW w:w="401" w:type="pct"/>
            <w:tcBorders>
              <w:bottom w:val="single" w:sz="8" w:space="0" w:color="auto"/>
            </w:tcBorders>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26</w:t>
            </w:r>
            <w:r>
              <w:rPr>
                <w:rFonts w:ascii="Times New Roman" w:eastAsia="Calibri" w:hAnsi="Times New Roman" w:cs="Times New Roman"/>
                <w:sz w:val="20"/>
                <w:szCs w:val="20"/>
                <w:vertAlign w:val="superscript"/>
                <w:lang w:bidi="hi-IN"/>
              </w:rPr>
              <w:t>[c]</w:t>
            </w:r>
          </w:p>
        </w:tc>
        <w:tc>
          <w:tcPr>
            <w:tcW w:w="1654" w:type="pct"/>
            <w:tcBorders>
              <w:bottom w:val="single" w:sz="8" w:space="0" w:color="auto"/>
            </w:tcBorders>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object w:dxaOrig="2251" w:dyaOrig="691">
                <v:shape id="_x0000_i1050" type="#_x0000_t75" style="width:137pt;height:43pt" o:ole="">
                  <v:imagedata r:id="rId59" o:title=""/>
                </v:shape>
                <o:OLEObject Type="Embed" ProgID="MDLDrawOLE.MDLDrawObject.1" ShapeID="_x0000_i1050" DrawAspect="Content" ObjectID="_1623823595" r:id="rId60">
                  <o:FieldCodes>\s</o:FieldCodes>
                </o:OLEObject>
              </w:object>
            </w:r>
          </w:p>
        </w:tc>
        <w:tc>
          <w:tcPr>
            <w:tcW w:w="376" w:type="pct"/>
            <w:tcBorders>
              <w:bottom w:val="single" w:sz="8" w:space="0" w:color="auto"/>
            </w:tcBorders>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Calibri" w:hAnsi="Times New Roman" w:cs="Times New Roman"/>
                <w:sz w:val="20"/>
                <w:szCs w:val="20"/>
                <w:lang w:bidi="hi-IN"/>
              </w:rPr>
            </w:pPr>
            <w:r>
              <w:rPr>
                <w:rFonts w:ascii="Times New Roman" w:eastAsia="Calibri" w:hAnsi="Times New Roman" w:cs="Times New Roman"/>
                <w:sz w:val="20"/>
                <w:szCs w:val="20"/>
                <w:lang w:bidi="hi-IN"/>
              </w:rPr>
              <w:t>6.187</w:t>
            </w:r>
          </w:p>
        </w:tc>
      </w:tr>
    </w:tbl>
    <w:p>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a</w:t>
      </w:r>
      <w:proofErr w:type="gramEnd"/>
      <w:r>
        <w:rPr>
          <w:rFonts w:ascii="Times New Roman" w:hAnsi="Times New Roman" w:cs="Times New Roman"/>
          <w:sz w:val="24"/>
          <w:szCs w:val="24"/>
          <w:vertAlign w:val="superscript"/>
        </w:rPr>
        <w:t>]</w:t>
      </w:r>
      <w:r>
        <w:rPr>
          <w:rFonts w:ascii="Times New Roman" w:hAnsi="Times New Roman" w:cs="Times New Roman"/>
          <w:sz w:val="24"/>
          <w:szCs w:val="24"/>
        </w:rPr>
        <w:t xml:space="preserve">The compounds structures </w:t>
      </w:r>
      <w:proofErr w:type="gramStart"/>
      <w:r>
        <w:rPr>
          <w:rFonts w:ascii="Times New Roman" w:hAnsi="Times New Roman" w:cs="Times New Roman"/>
          <w:sz w:val="24"/>
          <w:szCs w:val="24"/>
        </w:rPr>
        <w:t>were drawn</w:t>
      </w:r>
      <w:proofErr w:type="gramEnd"/>
      <w:r>
        <w:rPr>
          <w:rFonts w:ascii="Times New Roman" w:hAnsi="Times New Roman" w:cs="Times New Roman"/>
          <w:sz w:val="24"/>
          <w:szCs w:val="24"/>
        </w:rPr>
        <w:t xml:space="preserve"> with </w:t>
      </w:r>
      <w:proofErr w:type="spellStart"/>
      <w:r>
        <w:rPr>
          <w:rFonts w:ascii="Times New Roman" w:hAnsi="Times New Roman" w:cs="Times New Roman"/>
          <w:sz w:val="24"/>
          <w:szCs w:val="24"/>
        </w:rPr>
        <w:t>MarvinSketch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ChemAxon</w:t>
      </w:r>
      <w:proofErr w:type="spellEnd"/>
      <w:r>
        <w:rPr>
          <w:rFonts w:ascii="Times New Roman" w:hAnsi="Times New Roman" w:cs="Times New Roman"/>
          <w:sz w:val="24"/>
          <w:szCs w:val="24"/>
        </w:rPr>
        <w:t xml:space="preserve">) [http://www.chemaxon.com]. </w:t>
      </w:r>
      <w:r>
        <w:rPr>
          <w:rFonts w:ascii="Times New Roman" w:hAnsi="Times New Roman" w:cs="Times New Roman"/>
          <w:sz w:val="24"/>
          <w:szCs w:val="24"/>
          <w:vertAlign w:val="superscript"/>
        </w:rPr>
        <w:t>[b]</w:t>
      </w:r>
      <w:r>
        <w:rPr>
          <w:rFonts w:ascii="Times New Roman" w:hAnsi="Times New Roman" w:cs="Times New Roman"/>
          <w:sz w:val="24"/>
          <w:szCs w:val="24"/>
        </w:rPr>
        <w:t xml:space="preserve">The compounds used for decoys generation. </w:t>
      </w:r>
      <w:r>
        <w:rPr>
          <w:rFonts w:ascii="Times New Roman" w:hAnsi="Times New Roman" w:cs="Times New Roman"/>
          <w:sz w:val="24"/>
          <w:szCs w:val="24"/>
          <w:vertAlign w:val="superscript"/>
        </w:rPr>
        <w:t>[c]</w:t>
      </w:r>
      <w:r>
        <w:rPr>
          <w:rFonts w:ascii="Times New Roman" w:hAnsi="Times New Roman" w:cs="Times New Roman"/>
          <w:sz w:val="24"/>
          <w:szCs w:val="24"/>
        </w:rPr>
        <w:t xml:space="preserve">The test set compounds of the </w:t>
      </w:r>
      <w:r>
        <w:rPr>
          <w:rFonts w:ascii="Times New Roman" w:hAnsi="Times New Roman" w:cs="Times New Roman"/>
          <w:noProof/>
          <w:sz w:val="24"/>
          <w:szCs w:val="24"/>
        </w:rPr>
        <w:t>3D-QSAR</w:t>
      </w:r>
      <w:r>
        <w:rPr>
          <w:rFonts w:ascii="Times New Roman" w:hAnsi="Times New Roman" w:cs="Times New Roman"/>
          <w:sz w:val="24"/>
          <w:szCs w:val="24"/>
        </w:rPr>
        <w:t xml:space="preserve"> model.</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Test set selection</w:t>
      </w:r>
    </w:p>
    <w:p>
      <w:pPr>
        <w:pStyle w:val="HTMLPreformatte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t xml:space="preserve">In order to split the dataset in training and test sets, we followed the recommendation of </w:t>
      </w:r>
      <w:proofErr w:type="spellStart"/>
      <w:r>
        <w:rPr>
          <w:rFonts w:ascii="Times New Roman" w:hAnsi="Times New Roman" w:cs="Times New Roman"/>
          <w:color w:val="000000" w:themeColor="text1"/>
          <w:sz w:val="24"/>
          <w:szCs w:val="24"/>
        </w:rPr>
        <w:t>Golbraikh</w:t>
      </w:r>
      <w:proofErr w:type="spellEnd"/>
      <w:r>
        <w:rPr>
          <w:rFonts w:ascii="Times New Roman" w:hAnsi="Times New Roman" w:cs="Times New Roman"/>
          <w:color w:val="000000" w:themeColor="text1"/>
          <w:sz w:val="24"/>
          <w:szCs w:val="24"/>
        </w:rPr>
        <w:t xml:space="preserve"> papers</w:t>
      </w:r>
      <w:r>
        <w:rPr>
          <w:rFonts w:ascii="Times New Roman" w:hAnsi="Times New Roman" w:cs="Times New Roman"/>
          <w:color w:val="000000" w:themeColor="text1"/>
          <w:sz w:val="24"/>
          <w:szCs w:val="24"/>
          <w:vertAlign w:val="superscript"/>
        </w:rPr>
        <w:t>3,4,5</w:t>
      </w:r>
      <w:r>
        <w:rPr>
          <w:rFonts w:ascii="Times New Roman" w:hAnsi="Times New Roman" w:cs="Times New Roman"/>
          <w:color w:val="000000" w:themeColor="text1"/>
          <w:sz w:val="24"/>
          <w:szCs w:val="24"/>
        </w:rPr>
        <w:t xml:space="preserve">: </w:t>
      </w:r>
    </w:p>
    <w:p>
      <w:pPr>
        <w:pStyle w:val="HTMLPreformatte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Pr>
          <w:rFonts w:ascii="Times New Roman" w:hAnsi="Times New Roman" w:cs="Times New Roman"/>
          <w:color w:val="000000" w:themeColor="text1"/>
          <w:sz w:val="24"/>
          <w:szCs w:val="24"/>
          <w:lang w:val="en-US"/>
        </w:rPr>
        <w:t>On the basis of our analysis, we suggest that the test set must include no less than five compounds, whose activities and structures must cover the range of activities (see Figure S1) and structures of compounds from the training set.</w:t>
      </w:r>
      <w:r>
        <w:rPr>
          <w:rFonts w:ascii="Times New Roman" w:hAnsi="Times New Roman" w:cs="Times New Roman"/>
          <w:color w:val="000000" w:themeColor="text1"/>
          <w:sz w:val="24"/>
          <w:szCs w:val="24"/>
        </w:rPr>
        <w:t>”</w:t>
      </w:r>
    </w:p>
    <w:p>
      <w:pPr>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 “Ideally, the division into the training and test set must satisfy the following three conditions: (</w:t>
      </w:r>
      <w:proofErr w:type="spellStart"/>
      <w:r>
        <w:rPr>
          <w:rFonts w:ascii="Times New Roman" w:hAnsi="Times New Roman" w:cs="Times New Roman"/>
          <w:bCs/>
          <w:color w:val="000000" w:themeColor="text1"/>
          <w:sz w:val="24"/>
          <w:szCs w:val="24"/>
        </w:rPr>
        <w:t>i</w:t>
      </w:r>
      <w:proofErr w:type="spellEnd"/>
      <w:r>
        <w:rPr>
          <w:rFonts w:ascii="Times New Roman" w:hAnsi="Times New Roman" w:cs="Times New Roman"/>
          <w:bCs/>
          <w:color w:val="000000" w:themeColor="text1"/>
          <w:sz w:val="24"/>
          <w:szCs w:val="24"/>
        </w:rPr>
        <w:t xml:space="preserve">) All representative compound-points of the test set in the multidimensional </w:t>
      </w:r>
      <w:r>
        <w:rPr>
          <w:rFonts w:ascii="Times New Roman" w:hAnsi="Times New Roman" w:cs="Times New Roman"/>
          <w:bCs/>
          <w:color w:val="000000" w:themeColor="text1"/>
          <w:sz w:val="24"/>
          <w:szCs w:val="24"/>
        </w:rPr>
        <w:lastRenderedPageBreak/>
        <w:t xml:space="preserve">descriptor space must be close to those of the training set. (ii) All representative points of the training set must be close to those of the test set. (iii) The representative points of the training set must be distributed within the whole area occupied by the entire dataset.” To verify this in our case we have calculated the similarity between our training and test sets: </w:t>
      </w:r>
    </w:p>
    <w:p>
      <w:pPr>
        <w:pStyle w:val="HTMLPreformatted"/>
        <w:rPr>
          <w:rFonts w:ascii="Times New Roman" w:hAnsi="Times New Roman" w:cs="Times New Roman"/>
          <w:color w:val="0070C0"/>
          <w:sz w:val="24"/>
          <w:szCs w:val="24"/>
        </w:rPr>
      </w:pPr>
    </w:p>
    <w:p>
      <w:pPr>
        <w:pStyle w:val="HTMLPreformatted"/>
        <w:jc w:val="center"/>
        <w:rPr>
          <w:rFonts w:ascii="Times New Roman" w:hAnsi="Times New Roman" w:cs="Times New Roman"/>
          <w:color w:val="0070C0"/>
          <w:sz w:val="24"/>
          <w:szCs w:val="24"/>
        </w:rPr>
      </w:pPr>
      <w:r>
        <w:rPr>
          <w:rFonts w:ascii="Times New Roman" w:hAnsi="Times New Roman" w:cs="Times New Roman"/>
          <w:noProof/>
          <w:color w:val="0070C0"/>
          <w:sz w:val="24"/>
          <w:szCs w:val="24"/>
        </w:rPr>
        <w:drawing>
          <wp:inline distT="0" distB="0" distL="0" distR="0">
            <wp:extent cx="1701947" cy="151378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1" cstate="print">
                      <a:extLst>
                        <a:ext uri="{28A0092B-C50C-407E-A947-70E740481C1C}">
                          <a14:useLocalDpi xmlns:a14="http://schemas.microsoft.com/office/drawing/2010/main" val="0"/>
                        </a:ext>
                      </a:extLst>
                    </a:blip>
                    <a:srcRect l="11032" r="13762"/>
                    <a:stretch/>
                  </pic:blipFill>
                  <pic:spPr bwMode="auto">
                    <a:xfrm>
                      <a:off x="0" y="0"/>
                      <a:ext cx="1727632" cy="1536633"/>
                    </a:xfrm>
                    <a:prstGeom prst="rect">
                      <a:avLst/>
                    </a:prstGeom>
                    <a:noFill/>
                    <a:ln>
                      <a:noFill/>
                    </a:ln>
                    <a:extLst>
                      <a:ext uri="{53640926-AAD7-44D8-BBD7-CCE9431645EC}">
                        <a14:shadowObscured xmlns:a14="http://schemas.microsoft.com/office/drawing/2010/main"/>
                      </a:ext>
                    </a:extLst>
                  </pic:spPr>
                </pic:pic>
              </a:graphicData>
            </a:graphic>
          </wp:inline>
        </w:drawing>
      </w:r>
    </w:p>
    <w:p>
      <w:pPr>
        <w:pStyle w:val="HTMLPreformatted"/>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Figure S1. Histogram</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of dataset pIC50 distribution.</w:t>
      </w:r>
    </w:p>
    <w:p>
      <w:pPr>
        <w:pStyle w:val="HTMLPreformatted"/>
        <w:rPr>
          <w:rFonts w:ascii="Times New Roman" w:hAnsi="Times New Roman" w:cs="Times New Roman"/>
          <w:color w:val="0070C0"/>
          <w:sz w:val="24"/>
          <w:szCs w:val="24"/>
        </w:rPr>
      </w:pPr>
    </w:p>
    <w:p>
      <w:pPr>
        <w:pStyle w:val="HTMLPreformatted"/>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Peter Willett</w:t>
      </w:r>
      <w:r>
        <w:rPr>
          <w:rFonts w:ascii="Times New Roman" w:eastAsia="Times New Roman" w:hAnsi="Times New Roman" w:cs="Times New Roman"/>
          <w:color w:val="000000" w:themeColor="text1"/>
          <w:sz w:val="24"/>
          <w:szCs w:val="24"/>
          <w:vertAlign w:val="superscript"/>
          <w:lang w:eastAsia="en-GB"/>
        </w:rPr>
        <w:t>6</w:t>
      </w:r>
      <w:r>
        <w:rPr>
          <w:rFonts w:ascii="Times New Roman" w:eastAsia="Times New Roman" w:hAnsi="Times New Roman" w:cs="Times New Roman"/>
          <w:color w:val="000000" w:themeColor="text1"/>
          <w:sz w:val="24"/>
          <w:szCs w:val="24"/>
          <w:lang w:eastAsia="en-GB"/>
        </w:rPr>
        <w:t xml:space="preserve"> demonstrates that the well-known </w:t>
      </w:r>
      <w:proofErr w:type="spellStart"/>
      <w:r>
        <w:rPr>
          <w:rFonts w:ascii="Times New Roman" w:eastAsia="Times New Roman" w:hAnsi="Times New Roman" w:cs="Times New Roman"/>
          <w:color w:val="000000" w:themeColor="text1"/>
          <w:sz w:val="24"/>
          <w:szCs w:val="24"/>
          <w:lang w:eastAsia="en-GB"/>
        </w:rPr>
        <w:t>Tanimoto</w:t>
      </w:r>
      <w:proofErr w:type="spellEnd"/>
      <w:r>
        <w:rPr>
          <w:rFonts w:ascii="Times New Roman" w:eastAsia="Times New Roman" w:hAnsi="Times New Roman" w:cs="Times New Roman"/>
          <w:color w:val="000000" w:themeColor="text1"/>
          <w:sz w:val="24"/>
          <w:szCs w:val="24"/>
          <w:lang w:eastAsia="en-GB"/>
        </w:rPr>
        <w:t xml:space="preserve"> coefficient remains the method of choice for the computation of fingerprint-based similarity. The </w:t>
      </w:r>
      <w:proofErr w:type="spellStart"/>
      <w:r>
        <w:rPr>
          <w:rFonts w:ascii="Times New Roman" w:eastAsia="Times New Roman" w:hAnsi="Times New Roman" w:cs="Times New Roman"/>
          <w:color w:val="000000" w:themeColor="text1"/>
          <w:sz w:val="24"/>
          <w:szCs w:val="24"/>
          <w:lang w:eastAsia="en-GB"/>
        </w:rPr>
        <w:t>Tanimoto</w:t>
      </w:r>
      <w:proofErr w:type="spellEnd"/>
      <w:r>
        <w:rPr>
          <w:rFonts w:ascii="Times New Roman" w:eastAsia="Times New Roman" w:hAnsi="Times New Roman" w:cs="Times New Roman"/>
          <w:color w:val="000000" w:themeColor="text1"/>
          <w:sz w:val="24"/>
          <w:szCs w:val="24"/>
          <w:lang w:eastAsia="en-GB"/>
        </w:rPr>
        <w:t xml:space="preserve"> coefficient was calculated in order to have a quantitative basis, a similarity measure, and to assess the degree of resemblance between the training set and the test set.</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en-GB"/>
        </w:rPr>
        <w:t xml:space="preserve">The </w:t>
      </w:r>
      <w:proofErr w:type="spellStart"/>
      <w:r>
        <w:rPr>
          <w:rFonts w:ascii="Times New Roman" w:eastAsia="Times New Roman" w:hAnsi="Times New Roman" w:cs="Times New Roman"/>
          <w:color w:val="000000" w:themeColor="text1"/>
          <w:sz w:val="24"/>
          <w:szCs w:val="24"/>
          <w:lang w:eastAsia="en-GB"/>
        </w:rPr>
        <w:t>Tanimoto</w:t>
      </w:r>
      <w:proofErr w:type="spellEnd"/>
      <w:r>
        <w:rPr>
          <w:rFonts w:ascii="Times New Roman" w:eastAsia="Times New Roman" w:hAnsi="Times New Roman" w:cs="Times New Roman"/>
          <w:color w:val="000000" w:themeColor="text1"/>
          <w:sz w:val="24"/>
          <w:szCs w:val="24"/>
          <w:lang w:eastAsia="en-GB"/>
        </w:rPr>
        <w:t xml:space="preserve"> similarity was computed using MACCS fingerprints, calculated with KNIME</w:t>
      </w:r>
      <w:r>
        <w:rPr>
          <w:rFonts w:ascii="Times New Roman" w:eastAsia="Times New Roman" w:hAnsi="Times New Roman" w:cs="Times New Roman"/>
          <w:color w:val="000000" w:themeColor="text1"/>
          <w:sz w:val="24"/>
          <w:szCs w:val="24"/>
          <w:vertAlign w:val="superscript"/>
          <w:lang w:eastAsia="en-GB"/>
        </w:rPr>
        <w:t>7</w:t>
      </w:r>
      <w:r>
        <w:rPr>
          <w:rFonts w:ascii="Times New Roman" w:eastAsia="Times New Roman" w:hAnsi="Times New Roman" w:cs="Times New Roman"/>
          <w:color w:val="000000" w:themeColor="text1"/>
          <w:sz w:val="24"/>
          <w:szCs w:val="24"/>
          <w:lang w:eastAsia="en-GB"/>
        </w:rPr>
        <w:t>. The test - training pairwise similarity values display a distribution shifted toward high values (0.85–1) (Figure S2).</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2060"/>
          <w:sz w:val="24"/>
          <w:szCs w:val="24"/>
          <w:lang w:eastAsia="en-GB"/>
        </w:rPr>
      </w:pPr>
      <w:r>
        <w:rPr>
          <w:rFonts w:ascii="Times New Roman" w:eastAsia="Times New Roman" w:hAnsi="Times New Roman" w:cs="Times New Roman"/>
          <w:noProof/>
          <w:color w:val="002060"/>
          <w:sz w:val="24"/>
          <w:szCs w:val="24"/>
          <w:lang w:val="en-GB" w:eastAsia="en-GB"/>
        </w:rPr>
        <w:drawing>
          <wp:inline distT="0" distB="0" distL="0" distR="0">
            <wp:extent cx="2532042" cy="149221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ining-test.tiff"/>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43044" cy="1498695"/>
                    </a:xfrm>
                    <a:prstGeom prst="rect">
                      <a:avLst/>
                    </a:prstGeom>
                  </pic:spPr>
                </pic:pic>
              </a:graphicData>
            </a:graphic>
          </wp:inline>
        </w:drawing>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eastAsia="en-G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Figure S2. The distribution of 2D </w:t>
      </w:r>
      <w:proofErr w:type="spellStart"/>
      <w:r>
        <w:rPr>
          <w:rFonts w:ascii="Times New Roman" w:eastAsia="Times New Roman" w:hAnsi="Times New Roman" w:cs="Times New Roman"/>
          <w:color w:val="000000" w:themeColor="text1"/>
          <w:sz w:val="24"/>
          <w:szCs w:val="24"/>
          <w:lang w:eastAsia="en-GB"/>
        </w:rPr>
        <w:t>Tanimoto</w:t>
      </w:r>
      <w:proofErr w:type="spellEnd"/>
      <w:r>
        <w:rPr>
          <w:rFonts w:ascii="Times New Roman" w:eastAsia="Times New Roman" w:hAnsi="Times New Roman" w:cs="Times New Roman"/>
          <w:color w:val="000000" w:themeColor="text1"/>
          <w:sz w:val="24"/>
          <w:szCs w:val="24"/>
          <w:lang w:eastAsia="en-GB"/>
        </w:rPr>
        <w:t xml:space="preserve"> coefficients values for training and test sets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en-G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en-G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In addition, we used the Euclidean Distance algorithm to work out the similarity between each two pairs of compounds by computing the score for each pair of nodes. The zero value for Euclidean Distance means absolute identity. For the training and test sets the distribution of values for Euclidean Distance are similar ((Figure S3).</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en-G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noProof/>
          <w:color w:val="000000" w:themeColor="text1"/>
          <w:sz w:val="24"/>
          <w:szCs w:val="24"/>
          <w:lang w:val="en-GB" w:eastAsia="en-GB"/>
        </w:rPr>
        <w:drawing>
          <wp:inline distT="0" distB="0" distL="0" distR="0">
            <wp:extent cx="2390612" cy="1323071"/>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405638" cy="1331387"/>
                    </a:xfrm>
                    <a:prstGeom prst="rect">
                      <a:avLst/>
                    </a:prstGeom>
                    <a:noFill/>
                  </pic:spPr>
                </pic:pic>
              </a:graphicData>
            </a:graphic>
          </wp:inline>
        </w:drawing>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en-G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Figure S3. The distribution of Euclidean Distance values for training and test sets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en-G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Furthermore, the median values for the most important 2D properties (FILTER </w:t>
      </w:r>
      <w:proofErr w:type="gramStart"/>
      <w:r>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OpenEye</w:t>
      </w:r>
      <w:proofErr w:type="spellEnd"/>
      <w:proofErr w:type="gramEnd"/>
      <w:r>
        <w:rPr>
          <w:rFonts w:ascii="Times New Roman" w:eastAsia="Times New Roman" w:hAnsi="Times New Roman" w:cs="Times New Roman"/>
          <w:color w:val="000000" w:themeColor="text1"/>
          <w:sz w:val="24"/>
          <w:szCs w:val="24"/>
          <w:lang w:eastAsia="en-GB"/>
        </w:rPr>
        <w:t>))</w:t>
      </w:r>
      <w:r>
        <w:rPr>
          <w:rFonts w:ascii="Times New Roman" w:eastAsia="Times New Roman" w:hAnsi="Times New Roman" w:cs="Times New Roman"/>
          <w:color w:val="000000" w:themeColor="text1"/>
          <w:sz w:val="24"/>
          <w:szCs w:val="24"/>
          <w:vertAlign w:val="superscript"/>
          <w:lang w:eastAsia="en-GB"/>
        </w:rPr>
        <w:t>8</w:t>
      </w:r>
      <w:r>
        <w:rPr>
          <w:rFonts w:ascii="Times New Roman" w:eastAsia="Times New Roman" w:hAnsi="Times New Roman" w:cs="Times New Roman"/>
          <w:color w:val="000000" w:themeColor="text1"/>
          <w:sz w:val="24"/>
          <w:szCs w:val="24"/>
          <w:lang w:eastAsia="en-GB"/>
        </w:rPr>
        <w:t xml:space="preserve"> of molecules were calculated.</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en-GB"/>
        </w:rPr>
        <w:t>In our case, the median value for training and test denote that the two sets of molecules are rather similar in character (Table S2).</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en-G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 Table S2. Characteristics (minim, maxim and median values) of the training and test set molecules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en-GB"/>
        </w:rPr>
      </w:pPr>
    </w:p>
    <w:tbl>
      <w:tblPr>
        <w:tblW w:w="4546" w:type="pct"/>
        <w:jc w:val="center"/>
        <w:tblLook w:val="04A0" w:firstRow="1" w:lastRow="0" w:firstColumn="1" w:lastColumn="0" w:noHBand="0" w:noVBand="1"/>
      </w:tblPr>
      <w:tblGrid>
        <w:gridCol w:w="1183"/>
        <w:gridCol w:w="1512"/>
        <w:gridCol w:w="1177"/>
        <w:gridCol w:w="1048"/>
        <w:gridCol w:w="831"/>
        <w:gridCol w:w="699"/>
        <w:gridCol w:w="817"/>
        <w:gridCol w:w="939"/>
      </w:tblGrid>
      <w:tr>
        <w:trPr>
          <w:trHeight w:val="300"/>
          <w:jc w:val="center"/>
        </w:trPr>
        <w:tc>
          <w:tcPr>
            <w:tcW w:w="718" w:type="pct"/>
            <w:tcBorders>
              <w:top w:val="single" w:sz="4" w:space="0" w:color="auto"/>
              <w:bottom w:val="single" w:sz="4" w:space="0" w:color="auto"/>
            </w:tcBorders>
          </w:tcPr>
          <w:p>
            <w:pPr>
              <w:spacing w:after="0" w:line="240" w:lineRule="auto"/>
              <w:rPr>
                <w:rFonts w:ascii="Times New Roman" w:eastAsia="Times New Roman" w:hAnsi="Times New Roman" w:cs="Times New Roman"/>
                <w:color w:val="000000" w:themeColor="text1"/>
                <w:sz w:val="20"/>
                <w:szCs w:val="20"/>
                <w:lang w:eastAsia="en-GB"/>
              </w:rPr>
            </w:pPr>
          </w:p>
        </w:tc>
        <w:tc>
          <w:tcPr>
            <w:tcW w:w="922" w:type="pct"/>
            <w:tcBorders>
              <w:top w:val="single" w:sz="4" w:space="0" w:color="auto"/>
              <w:bottom w:val="single" w:sz="4" w:space="0" w:color="auto"/>
            </w:tcBorders>
            <w:shd w:val="clear" w:color="auto" w:fill="auto"/>
            <w:noWrap/>
            <w:vAlign w:val="bottom"/>
            <w:hideMark/>
          </w:tcPr>
          <w:p>
            <w:pPr>
              <w:spacing w:after="0" w:line="240" w:lineRule="auto"/>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Name</w:t>
            </w:r>
          </w:p>
        </w:tc>
        <w:tc>
          <w:tcPr>
            <w:tcW w:w="718" w:type="pct"/>
            <w:tcBorders>
              <w:top w:val="single" w:sz="4" w:space="0" w:color="auto"/>
              <w:bottom w:val="single" w:sz="4" w:space="0" w:color="auto"/>
            </w:tcBorders>
            <w:shd w:val="clear" w:color="auto" w:fill="auto"/>
            <w:noWrap/>
            <w:vAlign w:val="bottom"/>
            <w:hideMark/>
          </w:tcPr>
          <w:p>
            <w:pPr>
              <w:spacing w:after="0" w:line="240" w:lineRule="auto"/>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MW</w:t>
            </w:r>
          </w:p>
        </w:tc>
        <w:tc>
          <w:tcPr>
            <w:tcW w:w="639" w:type="pct"/>
            <w:tcBorders>
              <w:top w:val="single" w:sz="4" w:space="0" w:color="auto"/>
              <w:bottom w:val="single" w:sz="4" w:space="0" w:color="auto"/>
            </w:tcBorders>
            <w:shd w:val="clear" w:color="auto" w:fill="auto"/>
            <w:noWrap/>
            <w:vAlign w:val="bottom"/>
            <w:hideMark/>
          </w:tcPr>
          <w:p>
            <w:pPr>
              <w:spacing w:after="0" w:line="240" w:lineRule="auto"/>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NRS</w:t>
            </w:r>
          </w:p>
        </w:tc>
        <w:tc>
          <w:tcPr>
            <w:tcW w:w="507" w:type="pct"/>
            <w:tcBorders>
              <w:top w:val="single" w:sz="4" w:space="0" w:color="auto"/>
              <w:bottom w:val="single" w:sz="4" w:space="0" w:color="auto"/>
            </w:tcBorders>
            <w:shd w:val="clear" w:color="auto" w:fill="auto"/>
            <w:noWrap/>
            <w:vAlign w:val="bottom"/>
            <w:hideMark/>
          </w:tcPr>
          <w:p>
            <w:pPr>
              <w:spacing w:after="0" w:line="240" w:lineRule="auto"/>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RBN</w:t>
            </w:r>
          </w:p>
        </w:tc>
        <w:tc>
          <w:tcPr>
            <w:tcW w:w="426" w:type="pct"/>
            <w:tcBorders>
              <w:top w:val="single" w:sz="4" w:space="0" w:color="auto"/>
              <w:bottom w:val="single" w:sz="4" w:space="0" w:color="auto"/>
            </w:tcBorders>
            <w:shd w:val="clear" w:color="auto" w:fill="auto"/>
            <w:noWrap/>
            <w:vAlign w:val="bottom"/>
            <w:hideMark/>
          </w:tcPr>
          <w:p>
            <w:pPr>
              <w:spacing w:after="0" w:line="240" w:lineRule="auto"/>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RB</w:t>
            </w:r>
          </w:p>
        </w:tc>
        <w:tc>
          <w:tcPr>
            <w:tcW w:w="498" w:type="pct"/>
            <w:tcBorders>
              <w:top w:val="single" w:sz="4" w:space="0" w:color="auto"/>
              <w:bottom w:val="single" w:sz="4" w:space="0" w:color="auto"/>
            </w:tcBorders>
            <w:shd w:val="clear" w:color="auto" w:fill="auto"/>
            <w:noWrap/>
            <w:vAlign w:val="bottom"/>
            <w:hideMark/>
          </w:tcPr>
          <w:p>
            <w:pPr>
              <w:spacing w:after="0" w:line="240" w:lineRule="auto"/>
              <w:rPr>
                <w:rFonts w:ascii="Times New Roman" w:eastAsia="Times New Roman" w:hAnsi="Times New Roman" w:cs="Times New Roman"/>
                <w:color w:val="000000" w:themeColor="text1"/>
                <w:sz w:val="20"/>
                <w:szCs w:val="20"/>
                <w:lang w:eastAsia="en-GB"/>
              </w:rPr>
            </w:pPr>
            <w:proofErr w:type="spellStart"/>
            <w:r>
              <w:rPr>
                <w:rFonts w:ascii="Times New Roman" w:eastAsia="Times New Roman" w:hAnsi="Times New Roman" w:cs="Times New Roman"/>
                <w:color w:val="000000" w:themeColor="text1"/>
                <w:sz w:val="20"/>
                <w:szCs w:val="20"/>
                <w:lang w:eastAsia="en-GB"/>
              </w:rPr>
              <w:t>XLogP</w:t>
            </w:r>
            <w:proofErr w:type="spellEnd"/>
          </w:p>
        </w:tc>
        <w:tc>
          <w:tcPr>
            <w:tcW w:w="572" w:type="pct"/>
            <w:tcBorders>
              <w:top w:val="single" w:sz="4" w:space="0" w:color="auto"/>
              <w:bottom w:val="single" w:sz="4" w:space="0" w:color="auto"/>
            </w:tcBorders>
            <w:shd w:val="clear" w:color="auto" w:fill="auto"/>
            <w:noWrap/>
            <w:vAlign w:val="bottom"/>
            <w:hideMark/>
          </w:tcPr>
          <w:p>
            <w:pPr>
              <w:spacing w:after="0" w:line="240" w:lineRule="auto"/>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2d PSA</w:t>
            </w:r>
          </w:p>
        </w:tc>
      </w:tr>
      <w:tr>
        <w:trPr>
          <w:trHeight w:val="300"/>
          <w:jc w:val="center"/>
        </w:trPr>
        <w:tc>
          <w:tcPr>
            <w:tcW w:w="718" w:type="pct"/>
            <w:vMerge w:val="restart"/>
            <w:tcBorders>
              <w:top w:val="single" w:sz="4" w:space="0" w:color="auto"/>
            </w:tcBorders>
          </w:tcPr>
          <w:p>
            <w:pPr>
              <w:spacing w:after="0" w:line="240" w:lineRule="auto"/>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TRAINING</w:t>
            </w:r>
          </w:p>
          <w:p>
            <w:pPr>
              <w:spacing w:after="0" w:line="240" w:lineRule="auto"/>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SET</w:t>
            </w:r>
          </w:p>
        </w:tc>
        <w:tc>
          <w:tcPr>
            <w:tcW w:w="922" w:type="pct"/>
            <w:tcBorders>
              <w:top w:val="single" w:sz="4" w:space="0" w:color="auto"/>
            </w:tcBorders>
            <w:shd w:val="clear" w:color="auto" w:fill="auto"/>
            <w:noWrap/>
            <w:vAlign w:val="bottom"/>
            <w:hideMark/>
          </w:tcPr>
          <w:p>
            <w:pPr>
              <w:spacing w:after="0" w:line="240" w:lineRule="auto"/>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MIN</w:t>
            </w:r>
          </w:p>
        </w:tc>
        <w:tc>
          <w:tcPr>
            <w:tcW w:w="718" w:type="pct"/>
            <w:tcBorders>
              <w:top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370.86</w:t>
            </w:r>
          </w:p>
        </w:tc>
        <w:tc>
          <w:tcPr>
            <w:tcW w:w="639" w:type="pct"/>
            <w:tcBorders>
              <w:top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3</w:t>
            </w:r>
          </w:p>
        </w:tc>
        <w:tc>
          <w:tcPr>
            <w:tcW w:w="507" w:type="pct"/>
            <w:tcBorders>
              <w:top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3</w:t>
            </w:r>
          </w:p>
        </w:tc>
        <w:tc>
          <w:tcPr>
            <w:tcW w:w="426" w:type="pct"/>
            <w:tcBorders>
              <w:top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26</w:t>
            </w:r>
          </w:p>
        </w:tc>
        <w:tc>
          <w:tcPr>
            <w:tcW w:w="498" w:type="pct"/>
            <w:tcBorders>
              <w:top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1.41</w:t>
            </w:r>
          </w:p>
        </w:tc>
        <w:tc>
          <w:tcPr>
            <w:tcW w:w="572" w:type="pct"/>
            <w:tcBorders>
              <w:top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68.32</w:t>
            </w:r>
          </w:p>
        </w:tc>
      </w:tr>
      <w:tr>
        <w:trPr>
          <w:trHeight w:val="300"/>
          <w:jc w:val="center"/>
        </w:trPr>
        <w:tc>
          <w:tcPr>
            <w:tcW w:w="718" w:type="pct"/>
            <w:vMerge/>
          </w:tcPr>
          <w:p>
            <w:pPr>
              <w:spacing w:after="0" w:line="240" w:lineRule="auto"/>
              <w:rPr>
                <w:rFonts w:ascii="Times New Roman" w:eastAsia="Times New Roman" w:hAnsi="Times New Roman" w:cs="Times New Roman"/>
                <w:color w:val="000000" w:themeColor="text1"/>
                <w:sz w:val="20"/>
                <w:szCs w:val="20"/>
                <w:lang w:eastAsia="en-GB"/>
              </w:rPr>
            </w:pPr>
          </w:p>
        </w:tc>
        <w:tc>
          <w:tcPr>
            <w:tcW w:w="922" w:type="pct"/>
            <w:shd w:val="clear" w:color="auto" w:fill="auto"/>
            <w:noWrap/>
            <w:vAlign w:val="bottom"/>
            <w:hideMark/>
          </w:tcPr>
          <w:p>
            <w:pPr>
              <w:spacing w:after="0" w:line="240" w:lineRule="auto"/>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MAX</w:t>
            </w:r>
          </w:p>
        </w:tc>
        <w:tc>
          <w:tcPr>
            <w:tcW w:w="718" w:type="pct"/>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482.02</w:t>
            </w:r>
          </w:p>
        </w:tc>
        <w:tc>
          <w:tcPr>
            <w:tcW w:w="639" w:type="pct"/>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4</w:t>
            </w:r>
          </w:p>
        </w:tc>
        <w:tc>
          <w:tcPr>
            <w:tcW w:w="507" w:type="pct"/>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6</w:t>
            </w:r>
          </w:p>
        </w:tc>
        <w:tc>
          <w:tcPr>
            <w:tcW w:w="426" w:type="pct"/>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34</w:t>
            </w:r>
          </w:p>
        </w:tc>
        <w:tc>
          <w:tcPr>
            <w:tcW w:w="498" w:type="pct"/>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4.12</w:t>
            </w:r>
          </w:p>
        </w:tc>
        <w:tc>
          <w:tcPr>
            <w:tcW w:w="572" w:type="pct"/>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90.08</w:t>
            </w:r>
          </w:p>
        </w:tc>
      </w:tr>
      <w:tr>
        <w:trPr>
          <w:trHeight w:val="300"/>
          <w:jc w:val="center"/>
        </w:trPr>
        <w:tc>
          <w:tcPr>
            <w:tcW w:w="718" w:type="pct"/>
            <w:vMerge/>
            <w:tcBorders>
              <w:bottom w:val="single" w:sz="4" w:space="0" w:color="auto"/>
            </w:tcBorders>
          </w:tcPr>
          <w:p>
            <w:pPr>
              <w:spacing w:after="0" w:line="240" w:lineRule="auto"/>
              <w:rPr>
                <w:rFonts w:ascii="Times New Roman" w:eastAsia="Times New Roman" w:hAnsi="Times New Roman" w:cs="Times New Roman"/>
                <w:color w:val="000000" w:themeColor="text1"/>
                <w:sz w:val="20"/>
                <w:szCs w:val="20"/>
                <w:lang w:eastAsia="en-GB"/>
              </w:rPr>
            </w:pPr>
          </w:p>
        </w:tc>
        <w:tc>
          <w:tcPr>
            <w:tcW w:w="922" w:type="pct"/>
            <w:tcBorders>
              <w:bottom w:val="single" w:sz="4" w:space="0" w:color="auto"/>
            </w:tcBorders>
            <w:shd w:val="clear" w:color="auto" w:fill="auto"/>
            <w:noWrap/>
            <w:vAlign w:val="bottom"/>
            <w:hideMark/>
          </w:tcPr>
          <w:p>
            <w:pPr>
              <w:spacing w:after="0" w:line="240" w:lineRule="auto"/>
              <w:rPr>
                <w:rFonts w:ascii="Times New Roman" w:eastAsia="Times New Roman" w:hAnsi="Times New Roman" w:cs="Times New Roman"/>
                <w:b/>
                <w:color w:val="000000" w:themeColor="text1"/>
                <w:sz w:val="20"/>
                <w:szCs w:val="20"/>
                <w:lang w:eastAsia="en-GB"/>
              </w:rPr>
            </w:pPr>
            <w:r>
              <w:rPr>
                <w:rFonts w:ascii="Times New Roman" w:eastAsia="Times New Roman" w:hAnsi="Times New Roman" w:cs="Times New Roman"/>
                <w:b/>
                <w:color w:val="000000" w:themeColor="text1"/>
                <w:sz w:val="20"/>
                <w:szCs w:val="20"/>
                <w:lang w:eastAsia="en-GB"/>
              </w:rPr>
              <w:t>MEDIAN</w:t>
            </w:r>
          </w:p>
        </w:tc>
        <w:tc>
          <w:tcPr>
            <w:tcW w:w="718" w:type="pct"/>
            <w:tcBorders>
              <w:bottom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color w:val="000000" w:themeColor="text1"/>
                <w:sz w:val="20"/>
                <w:szCs w:val="20"/>
                <w:lang w:eastAsia="en-GB"/>
              </w:rPr>
            </w:pPr>
            <w:r>
              <w:rPr>
                <w:rFonts w:ascii="Times New Roman" w:eastAsia="Times New Roman" w:hAnsi="Times New Roman" w:cs="Times New Roman"/>
                <w:b/>
                <w:color w:val="000000" w:themeColor="text1"/>
                <w:sz w:val="20"/>
                <w:szCs w:val="20"/>
                <w:lang w:eastAsia="en-GB"/>
              </w:rPr>
              <w:t>452.405</w:t>
            </w:r>
          </w:p>
        </w:tc>
        <w:tc>
          <w:tcPr>
            <w:tcW w:w="639" w:type="pct"/>
            <w:tcBorders>
              <w:bottom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color w:val="000000" w:themeColor="text1"/>
                <w:sz w:val="20"/>
                <w:szCs w:val="20"/>
                <w:lang w:eastAsia="en-GB"/>
              </w:rPr>
            </w:pPr>
            <w:r>
              <w:rPr>
                <w:rFonts w:ascii="Times New Roman" w:eastAsia="Times New Roman" w:hAnsi="Times New Roman" w:cs="Times New Roman"/>
                <w:b/>
                <w:color w:val="000000" w:themeColor="text1"/>
                <w:sz w:val="20"/>
                <w:szCs w:val="20"/>
                <w:lang w:eastAsia="en-GB"/>
              </w:rPr>
              <w:t>4</w:t>
            </w:r>
          </w:p>
        </w:tc>
        <w:tc>
          <w:tcPr>
            <w:tcW w:w="507" w:type="pct"/>
            <w:tcBorders>
              <w:bottom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color w:val="000000" w:themeColor="text1"/>
                <w:sz w:val="20"/>
                <w:szCs w:val="20"/>
                <w:lang w:eastAsia="en-GB"/>
              </w:rPr>
            </w:pPr>
            <w:r>
              <w:rPr>
                <w:rFonts w:ascii="Times New Roman" w:eastAsia="Times New Roman" w:hAnsi="Times New Roman" w:cs="Times New Roman"/>
                <w:b/>
                <w:color w:val="000000" w:themeColor="text1"/>
                <w:sz w:val="20"/>
                <w:szCs w:val="20"/>
                <w:lang w:eastAsia="en-GB"/>
              </w:rPr>
              <w:t>5</w:t>
            </w:r>
          </w:p>
        </w:tc>
        <w:tc>
          <w:tcPr>
            <w:tcW w:w="426" w:type="pct"/>
            <w:tcBorders>
              <w:bottom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color w:val="000000" w:themeColor="text1"/>
                <w:sz w:val="20"/>
                <w:szCs w:val="20"/>
                <w:lang w:eastAsia="en-GB"/>
              </w:rPr>
            </w:pPr>
            <w:r>
              <w:rPr>
                <w:rFonts w:ascii="Times New Roman" w:eastAsia="Times New Roman" w:hAnsi="Times New Roman" w:cs="Times New Roman"/>
                <w:b/>
                <w:color w:val="000000" w:themeColor="text1"/>
                <w:sz w:val="20"/>
                <w:szCs w:val="20"/>
                <w:lang w:eastAsia="en-GB"/>
              </w:rPr>
              <w:t>31</w:t>
            </w:r>
          </w:p>
        </w:tc>
        <w:tc>
          <w:tcPr>
            <w:tcW w:w="498" w:type="pct"/>
            <w:tcBorders>
              <w:bottom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color w:val="000000" w:themeColor="text1"/>
                <w:sz w:val="20"/>
                <w:szCs w:val="20"/>
                <w:lang w:eastAsia="en-GB"/>
              </w:rPr>
            </w:pPr>
            <w:r>
              <w:rPr>
                <w:rFonts w:ascii="Times New Roman" w:eastAsia="Times New Roman" w:hAnsi="Times New Roman" w:cs="Times New Roman"/>
                <w:b/>
                <w:color w:val="000000" w:themeColor="text1"/>
                <w:sz w:val="20"/>
                <w:szCs w:val="20"/>
                <w:lang w:eastAsia="en-GB"/>
              </w:rPr>
              <w:t>2.865</w:t>
            </w:r>
          </w:p>
        </w:tc>
        <w:tc>
          <w:tcPr>
            <w:tcW w:w="572" w:type="pct"/>
            <w:tcBorders>
              <w:bottom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color w:val="000000" w:themeColor="text1"/>
                <w:sz w:val="20"/>
                <w:szCs w:val="20"/>
                <w:lang w:eastAsia="en-GB"/>
              </w:rPr>
            </w:pPr>
            <w:r>
              <w:rPr>
                <w:rFonts w:ascii="Times New Roman" w:eastAsia="Times New Roman" w:hAnsi="Times New Roman" w:cs="Times New Roman"/>
                <w:b/>
                <w:color w:val="000000" w:themeColor="text1"/>
                <w:sz w:val="20"/>
                <w:szCs w:val="20"/>
                <w:lang w:eastAsia="en-GB"/>
              </w:rPr>
              <w:t>77.19</w:t>
            </w:r>
          </w:p>
        </w:tc>
      </w:tr>
      <w:tr>
        <w:trPr>
          <w:trHeight w:val="300"/>
          <w:jc w:val="center"/>
        </w:trPr>
        <w:tc>
          <w:tcPr>
            <w:tcW w:w="718" w:type="pct"/>
            <w:vMerge w:val="restart"/>
            <w:tcBorders>
              <w:top w:val="single" w:sz="4" w:space="0" w:color="auto"/>
            </w:tcBorders>
          </w:tcPr>
          <w:p>
            <w:pPr>
              <w:spacing w:after="0" w:line="240" w:lineRule="auto"/>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TEST SET</w:t>
            </w:r>
          </w:p>
        </w:tc>
        <w:tc>
          <w:tcPr>
            <w:tcW w:w="922" w:type="pct"/>
            <w:tcBorders>
              <w:top w:val="single" w:sz="4" w:space="0" w:color="auto"/>
            </w:tcBorders>
            <w:shd w:val="clear" w:color="auto" w:fill="auto"/>
            <w:noWrap/>
            <w:vAlign w:val="bottom"/>
            <w:hideMark/>
          </w:tcPr>
          <w:p>
            <w:pPr>
              <w:spacing w:after="0" w:line="240" w:lineRule="auto"/>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MIN</w:t>
            </w:r>
          </w:p>
        </w:tc>
        <w:tc>
          <w:tcPr>
            <w:tcW w:w="718" w:type="pct"/>
            <w:tcBorders>
              <w:top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425.93</w:t>
            </w:r>
          </w:p>
        </w:tc>
        <w:tc>
          <w:tcPr>
            <w:tcW w:w="639" w:type="pct"/>
            <w:tcBorders>
              <w:top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3</w:t>
            </w:r>
          </w:p>
        </w:tc>
        <w:tc>
          <w:tcPr>
            <w:tcW w:w="507" w:type="pct"/>
            <w:tcBorders>
              <w:top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4</w:t>
            </w:r>
          </w:p>
        </w:tc>
        <w:tc>
          <w:tcPr>
            <w:tcW w:w="426" w:type="pct"/>
            <w:tcBorders>
              <w:top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27</w:t>
            </w:r>
          </w:p>
        </w:tc>
        <w:tc>
          <w:tcPr>
            <w:tcW w:w="498" w:type="pct"/>
            <w:tcBorders>
              <w:top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1.24</w:t>
            </w:r>
          </w:p>
        </w:tc>
        <w:tc>
          <w:tcPr>
            <w:tcW w:w="572" w:type="pct"/>
            <w:tcBorders>
              <w:top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60.51</w:t>
            </w:r>
          </w:p>
        </w:tc>
      </w:tr>
      <w:tr>
        <w:trPr>
          <w:trHeight w:val="300"/>
          <w:jc w:val="center"/>
        </w:trPr>
        <w:tc>
          <w:tcPr>
            <w:tcW w:w="718" w:type="pct"/>
            <w:vMerge/>
          </w:tcPr>
          <w:p>
            <w:pPr>
              <w:spacing w:after="0" w:line="240" w:lineRule="auto"/>
              <w:rPr>
                <w:rFonts w:ascii="Times New Roman" w:eastAsia="Times New Roman" w:hAnsi="Times New Roman" w:cs="Times New Roman"/>
                <w:color w:val="000000" w:themeColor="text1"/>
                <w:sz w:val="20"/>
                <w:szCs w:val="20"/>
                <w:lang w:eastAsia="en-GB"/>
              </w:rPr>
            </w:pPr>
          </w:p>
        </w:tc>
        <w:tc>
          <w:tcPr>
            <w:tcW w:w="922" w:type="pct"/>
            <w:shd w:val="clear" w:color="auto" w:fill="auto"/>
            <w:noWrap/>
            <w:vAlign w:val="bottom"/>
            <w:hideMark/>
          </w:tcPr>
          <w:p>
            <w:pPr>
              <w:spacing w:after="0" w:line="240" w:lineRule="auto"/>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MAX</w:t>
            </w:r>
          </w:p>
        </w:tc>
        <w:tc>
          <w:tcPr>
            <w:tcW w:w="718" w:type="pct"/>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495.93</w:t>
            </w:r>
          </w:p>
        </w:tc>
        <w:tc>
          <w:tcPr>
            <w:tcW w:w="639" w:type="pct"/>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4</w:t>
            </w:r>
          </w:p>
        </w:tc>
        <w:tc>
          <w:tcPr>
            <w:tcW w:w="507" w:type="pct"/>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6</w:t>
            </w:r>
          </w:p>
        </w:tc>
        <w:tc>
          <w:tcPr>
            <w:tcW w:w="426" w:type="pct"/>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34</w:t>
            </w:r>
          </w:p>
        </w:tc>
        <w:tc>
          <w:tcPr>
            <w:tcW w:w="498" w:type="pct"/>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3.93</w:t>
            </w:r>
          </w:p>
        </w:tc>
        <w:tc>
          <w:tcPr>
            <w:tcW w:w="572" w:type="pct"/>
            <w:shd w:val="clear" w:color="auto" w:fill="auto"/>
            <w:noWrap/>
            <w:vAlign w:val="bottom"/>
            <w:hideMark/>
          </w:tcPr>
          <w:p>
            <w:pPr>
              <w:spacing w:after="0" w:line="240" w:lineRule="auto"/>
              <w:jc w:val="right"/>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90.08</w:t>
            </w:r>
          </w:p>
        </w:tc>
      </w:tr>
      <w:tr>
        <w:trPr>
          <w:trHeight w:val="300"/>
          <w:jc w:val="center"/>
        </w:trPr>
        <w:tc>
          <w:tcPr>
            <w:tcW w:w="718" w:type="pct"/>
            <w:vMerge/>
            <w:tcBorders>
              <w:bottom w:val="single" w:sz="4" w:space="0" w:color="auto"/>
            </w:tcBorders>
          </w:tcPr>
          <w:p>
            <w:pPr>
              <w:spacing w:after="0" w:line="240" w:lineRule="auto"/>
              <w:rPr>
                <w:rFonts w:ascii="Times New Roman" w:eastAsia="Times New Roman" w:hAnsi="Times New Roman" w:cs="Times New Roman"/>
                <w:color w:val="000000" w:themeColor="text1"/>
                <w:sz w:val="20"/>
                <w:szCs w:val="20"/>
                <w:lang w:eastAsia="en-GB"/>
              </w:rPr>
            </w:pPr>
          </w:p>
        </w:tc>
        <w:tc>
          <w:tcPr>
            <w:tcW w:w="922" w:type="pct"/>
            <w:tcBorders>
              <w:bottom w:val="single" w:sz="4" w:space="0" w:color="auto"/>
            </w:tcBorders>
            <w:shd w:val="clear" w:color="auto" w:fill="auto"/>
            <w:noWrap/>
            <w:vAlign w:val="bottom"/>
            <w:hideMark/>
          </w:tcPr>
          <w:p>
            <w:pPr>
              <w:spacing w:after="0" w:line="240" w:lineRule="auto"/>
              <w:rPr>
                <w:rFonts w:ascii="Times New Roman" w:eastAsia="Times New Roman" w:hAnsi="Times New Roman" w:cs="Times New Roman"/>
                <w:b/>
                <w:color w:val="000000" w:themeColor="text1"/>
                <w:sz w:val="20"/>
                <w:szCs w:val="20"/>
                <w:lang w:eastAsia="en-GB"/>
              </w:rPr>
            </w:pPr>
            <w:r>
              <w:rPr>
                <w:rFonts w:ascii="Times New Roman" w:eastAsia="Times New Roman" w:hAnsi="Times New Roman" w:cs="Times New Roman"/>
                <w:b/>
                <w:color w:val="000000" w:themeColor="text1"/>
                <w:sz w:val="20"/>
                <w:szCs w:val="20"/>
                <w:lang w:eastAsia="en-GB"/>
              </w:rPr>
              <w:t>MEDIAN</w:t>
            </w:r>
          </w:p>
        </w:tc>
        <w:tc>
          <w:tcPr>
            <w:tcW w:w="718" w:type="pct"/>
            <w:tcBorders>
              <w:bottom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color w:val="000000" w:themeColor="text1"/>
                <w:sz w:val="20"/>
                <w:szCs w:val="20"/>
                <w:lang w:eastAsia="en-GB"/>
              </w:rPr>
            </w:pPr>
            <w:r>
              <w:rPr>
                <w:rFonts w:ascii="Times New Roman" w:eastAsia="Times New Roman" w:hAnsi="Times New Roman" w:cs="Times New Roman"/>
                <w:b/>
                <w:color w:val="000000" w:themeColor="text1"/>
                <w:sz w:val="20"/>
                <w:szCs w:val="20"/>
                <w:lang w:eastAsia="en-GB"/>
              </w:rPr>
              <w:t>450.94</w:t>
            </w:r>
          </w:p>
        </w:tc>
        <w:tc>
          <w:tcPr>
            <w:tcW w:w="639" w:type="pct"/>
            <w:tcBorders>
              <w:bottom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color w:val="000000" w:themeColor="text1"/>
                <w:sz w:val="20"/>
                <w:szCs w:val="20"/>
                <w:lang w:eastAsia="en-GB"/>
              </w:rPr>
            </w:pPr>
            <w:r>
              <w:rPr>
                <w:rFonts w:ascii="Times New Roman" w:eastAsia="Times New Roman" w:hAnsi="Times New Roman" w:cs="Times New Roman"/>
                <w:b/>
                <w:color w:val="000000" w:themeColor="text1"/>
                <w:sz w:val="20"/>
                <w:szCs w:val="20"/>
                <w:lang w:eastAsia="en-GB"/>
              </w:rPr>
              <w:t>4</w:t>
            </w:r>
          </w:p>
        </w:tc>
        <w:tc>
          <w:tcPr>
            <w:tcW w:w="507" w:type="pct"/>
            <w:tcBorders>
              <w:bottom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color w:val="000000" w:themeColor="text1"/>
                <w:sz w:val="20"/>
                <w:szCs w:val="20"/>
                <w:lang w:eastAsia="en-GB"/>
              </w:rPr>
            </w:pPr>
            <w:r>
              <w:rPr>
                <w:rFonts w:ascii="Times New Roman" w:eastAsia="Times New Roman" w:hAnsi="Times New Roman" w:cs="Times New Roman"/>
                <w:b/>
                <w:color w:val="000000" w:themeColor="text1"/>
                <w:sz w:val="20"/>
                <w:szCs w:val="20"/>
                <w:lang w:eastAsia="en-GB"/>
              </w:rPr>
              <w:t>5</w:t>
            </w:r>
          </w:p>
        </w:tc>
        <w:tc>
          <w:tcPr>
            <w:tcW w:w="426" w:type="pct"/>
            <w:tcBorders>
              <w:bottom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color w:val="000000" w:themeColor="text1"/>
                <w:sz w:val="20"/>
                <w:szCs w:val="20"/>
                <w:lang w:eastAsia="en-GB"/>
              </w:rPr>
            </w:pPr>
            <w:r>
              <w:rPr>
                <w:rFonts w:ascii="Times New Roman" w:eastAsia="Times New Roman" w:hAnsi="Times New Roman" w:cs="Times New Roman"/>
                <w:b/>
                <w:color w:val="000000" w:themeColor="text1"/>
                <w:sz w:val="20"/>
                <w:szCs w:val="20"/>
                <w:lang w:eastAsia="en-GB"/>
              </w:rPr>
              <w:t>31.5</w:t>
            </w:r>
          </w:p>
        </w:tc>
        <w:tc>
          <w:tcPr>
            <w:tcW w:w="498" w:type="pct"/>
            <w:tcBorders>
              <w:bottom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color w:val="000000" w:themeColor="text1"/>
                <w:sz w:val="20"/>
                <w:szCs w:val="20"/>
                <w:lang w:eastAsia="en-GB"/>
              </w:rPr>
            </w:pPr>
            <w:r>
              <w:rPr>
                <w:rFonts w:ascii="Times New Roman" w:eastAsia="Times New Roman" w:hAnsi="Times New Roman" w:cs="Times New Roman"/>
                <w:b/>
                <w:color w:val="000000" w:themeColor="text1"/>
                <w:sz w:val="20"/>
                <w:szCs w:val="20"/>
                <w:lang w:eastAsia="en-GB"/>
              </w:rPr>
              <w:t>2.75</w:t>
            </w:r>
          </w:p>
        </w:tc>
        <w:tc>
          <w:tcPr>
            <w:tcW w:w="572" w:type="pct"/>
            <w:tcBorders>
              <w:bottom w:val="single" w:sz="4" w:space="0" w:color="auto"/>
            </w:tcBorders>
            <w:shd w:val="clear" w:color="auto" w:fill="auto"/>
            <w:noWrap/>
            <w:vAlign w:val="bottom"/>
            <w:hideMark/>
          </w:tcPr>
          <w:p>
            <w:pPr>
              <w:spacing w:after="0" w:line="240" w:lineRule="auto"/>
              <w:jc w:val="right"/>
              <w:rPr>
                <w:rFonts w:ascii="Times New Roman" w:eastAsia="Times New Roman" w:hAnsi="Times New Roman" w:cs="Times New Roman"/>
                <w:b/>
                <w:color w:val="000000" w:themeColor="text1"/>
                <w:sz w:val="20"/>
                <w:szCs w:val="20"/>
                <w:lang w:eastAsia="en-GB"/>
              </w:rPr>
            </w:pPr>
            <w:r>
              <w:rPr>
                <w:rFonts w:ascii="Times New Roman" w:eastAsia="Times New Roman" w:hAnsi="Times New Roman" w:cs="Times New Roman"/>
                <w:b/>
                <w:color w:val="000000" w:themeColor="text1"/>
                <w:sz w:val="20"/>
                <w:szCs w:val="20"/>
                <w:lang w:eastAsia="en-GB"/>
              </w:rPr>
              <w:t>77.19</w:t>
            </w:r>
          </w:p>
        </w:tc>
      </w:tr>
    </w:tbl>
    <w:p>
      <w:pPr>
        <w:spacing w:after="0" w:line="240" w:lineRule="auto"/>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MW- molecular weight; NRS - number of ring systems; RBN -rotatable bonds; RB - rigid bonds</w:t>
      </w:r>
    </w:p>
    <w:p>
      <w:pPr>
        <w:spacing w:after="0" w:line="240" w:lineRule="auto"/>
        <w:jc w:val="both"/>
        <w:rPr>
          <w:rFonts w:ascii="Times New Roman" w:eastAsia="Times New Roman" w:hAnsi="Times New Roman" w:cs="Times New Roman"/>
          <w:color w:val="FF0000"/>
          <w:sz w:val="24"/>
          <w:szCs w:val="24"/>
          <w:lang w:eastAsia="en-GB"/>
        </w:rPr>
      </w:pPr>
    </w:p>
    <w:p>
      <w:pPr>
        <w:spacing w:after="0" w:line="360" w:lineRule="auto"/>
        <w:jc w:val="both"/>
        <w:rPr>
          <w:rFonts w:ascii="Times New Roman" w:hAnsi="Times New Roman" w:cs="Times New Roman"/>
          <w:sz w:val="24"/>
          <w:szCs w:val="24"/>
        </w:rPr>
      </w:pPr>
    </w:p>
    <w:p>
      <w:pPr>
        <w:rPr>
          <w:rFonts w:ascii="Times New Roman" w:hAnsi="Times New Roman" w:cs="Times New Roman"/>
          <w:b/>
          <w:i/>
          <w:sz w:val="24"/>
          <w:szCs w:val="24"/>
          <w:lang w:val="en-GB"/>
        </w:rPr>
      </w:pPr>
      <w:r>
        <w:rPr>
          <w:rFonts w:ascii="Times New Roman" w:hAnsi="Times New Roman" w:cs="Times New Roman"/>
          <w:b/>
          <w:i/>
          <w:sz w:val="24"/>
          <w:szCs w:val="24"/>
          <w:lang w:val="en-GB"/>
        </w:rPr>
        <w:t>Building of the external validation dataset</w:t>
      </w:r>
    </w:p>
    <w:p>
      <w:pPr>
        <w:jc w:val="both"/>
        <w:rPr>
          <w:rFonts w:ascii="Times New Roman" w:hAnsi="Times New Roman" w:cs="Times New Roman"/>
          <w:sz w:val="24"/>
          <w:szCs w:val="24"/>
        </w:rPr>
      </w:pPr>
      <w:r>
        <w:rPr>
          <w:rFonts w:ascii="Times New Roman" w:hAnsi="Times New Roman" w:cs="Times New Roman"/>
          <w:sz w:val="24"/>
          <w:szCs w:val="24"/>
        </w:rPr>
        <w:t xml:space="preserve">The external validation dataset </w:t>
      </w:r>
      <w:proofErr w:type="gramStart"/>
      <w:r>
        <w:rPr>
          <w:rFonts w:ascii="Times New Roman" w:hAnsi="Times New Roman" w:cs="Times New Roman"/>
          <w:sz w:val="24"/>
          <w:szCs w:val="24"/>
        </w:rPr>
        <w:t>was assembled</w:t>
      </w:r>
      <w:proofErr w:type="gramEnd"/>
      <w:r>
        <w:rPr>
          <w:rFonts w:ascii="Times New Roman" w:hAnsi="Times New Roman" w:cs="Times New Roman"/>
          <w:sz w:val="24"/>
          <w:szCs w:val="24"/>
        </w:rPr>
        <w:t xml:space="preserve"> by extracting data from the </w:t>
      </w:r>
      <w:proofErr w:type="spellStart"/>
      <w:r>
        <w:rPr>
          <w:rFonts w:ascii="Times New Roman" w:hAnsi="Times New Roman" w:cs="Times New Roman"/>
          <w:sz w:val="24"/>
          <w:szCs w:val="24"/>
        </w:rPr>
        <w:t>ChEMBL</w:t>
      </w:r>
      <w:proofErr w:type="spellEnd"/>
      <w:r>
        <w:rPr>
          <w:rFonts w:ascii="Times New Roman" w:hAnsi="Times New Roman" w:cs="Times New Roman"/>
          <w:sz w:val="24"/>
          <w:szCs w:val="24"/>
        </w:rPr>
        <w:t xml:space="preserve"> database</w:t>
      </w:r>
      <w:r>
        <w:rPr>
          <w:rFonts w:ascii="Times New Roman" w:hAnsi="Times New Roman" w:cs="Times New Roman"/>
          <w:sz w:val="24"/>
          <w:szCs w:val="24"/>
          <w:vertAlign w:val="superscript"/>
        </w:rPr>
        <w:t>9</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Firstly, 818 compounds having inhibitory activity against SMO receptor were extracted. Then, the compounds with unspecified bioactivity IC50 against SMO receptor, as well as those having IC50 values expressed with a qualifier of type “&lt;” and “&gt;” were removed. Finally, the duplicates were discarded using Instant </w:t>
      </w:r>
      <w:proofErr w:type="spellStart"/>
      <w:r>
        <w:rPr>
          <w:rFonts w:ascii="Times New Roman" w:hAnsi="Times New Roman" w:cs="Times New Roman"/>
          <w:sz w:val="24"/>
          <w:szCs w:val="24"/>
        </w:rPr>
        <w:t>JChem</w:t>
      </w:r>
      <w:proofErr w:type="spellEnd"/>
      <w:r>
        <w:rPr>
          <w:rFonts w:ascii="Times New Roman" w:hAnsi="Times New Roman" w:cs="Times New Roman"/>
          <w:sz w:val="24"/>
          <w:szCs w:val="24"/>
        </w:rPr>
        <w:t xml:space="preserve"> software [Instant </w:t>
      </w:r>
      <w:proofErr w:type="spellStart"/>
      <w:r>
        <w:rPr>
          <w:rFonts w:ascii="Times New Roman" w:hAnsi="Times New Roman" w:cs="Times New Roman"/>
          <w:sz w:val="24"/>
          <w:szCs w:val="24"/>
        </w:rPr>
        <w:t>JChem</w:t>
      </w:r>
      <w:proofErr w:type="spellEnd"/>
      <w:r>
        <w:rPr>
          <w:rFonts w:ascii="Times New Roman" w:hAnsi="Times New Roman" w:cs="Times New Roman"/>
          <w:sz w:val="24"/>
          <w:szCs w:val="24"/>
        </w:rPr>
        <w:t xml:space="preserve"> v. 17.17.0, https://chemaxon.com/] and 689 active compounds were retained. Subsequently, drug-like filtering criteria, e.g., HBA (hydrogen bond acceptors) = 3–4, HBD (hydrogen bond donors) = 0–3, MW (molecular weight) = 371–496, RBN (number of rotatable bonds) = 3–6, </w:t>
      </w:r>
      <w:proofErr w:type="spellStart"/>
      <w:r>
        <w:rPr>
          <w:rFonts w:ascii="Times New Roman" w:hAnsi="Times New Roman" w:cs="Times New Roman"/>
          <w:sz w:val="24"/>
          <w:szCs w:val="24"/>
        </w:rPr>
        <w:t>XLogP</w:t>
      </w:r>
      <w:proofErr w:type="spellEnd"/>
      <w:r>
        <w:rPr>
          <w:rFonts w:ascii="Times New Roman" w:hAnsi="Times New Roman" w:cs="Times New Roman"/>
          <w:sz w:val="24"/>
          <w:szCs w:val="24"/>
        </w:rPr>
        <w:t xml:space="preserve"> = −0.4–3.7, 2dPSA (2d polar surface area) = 60–90 were applied, resulting 179 compounds which have been designated as actives in the evaluation procedure</w:t>
      </w:r>
      <w:r>
        <w:rPr>
          <w:rFonts w:ascii="Times New Roman" w:hAnsi="Times New Roman" w:cs="Times New Roman"/>
          <w:sz w:val="24"/>
          <w:szCs w:val="24"/>
          <w:vertAlign w:val="superscript"/>
        </w:rPr>
        <w:t>9-11</w:t>
      </w:r>
      <w:r>
        <w:rPr>
          <w:rFonts w:ascii="Times New Roman" w:hAnsi="Times New Roman" w:cs="Times New Roman"/>
          <w:sz w:val="24"/>
          <w:szCs w:val="24"/>
        </w:rPr>
        <w:t>. In order to select the decoys, a free on-line automated tool from the Directory of Useful Decoys, enhanced (DUD-E), (http://decoys.docking.org), was used</w:t>
      </w:r>
      <w:r>
        <w:rPr>
          <w:rFonts w:ascii="Times New Roman" w:hAnsi="Times New Roman" w:cs="Times New Roman"/>
          <w:sz w:val="24"/>
          <w:szCs w:val="24"/>
          <w:vertAlign w:val="superscript"/>
        </w:rPr>
        <w:t>12</w:t>
      </w:r>
      <w:r>
        <w:rPr>
          <w:rFonts w:ascii="Times New Roman" w:hAnsi="Times New Roman" w:cs="Times New Roman"/>
          <w:sz w:val="24"/>
          <w:szCs w:val="24"/>
        </w:rPr>
        <w:t xml:space="preserve">. The decoys set was compiled based on the similarities with the compounds used for pharmacophore generation (Table I), employed as queries. Thus, 50 decoys were selected for each query, with the exception of compounds </w:t>
      </w:r>
      <w:r>
        <w:rPr>
          <w:rFonts w:ascii="Times New Roman" w:hAnsi="Times New Roman" w:cs="Times New Roman"/>
          <w:b/>
          <w:sz w:val="24"/>
          <w:szCs w:val="24"/>
        </w:rPr>
        <w:t>2</w:t>
      </w:r>
      <w:r>
        <w:rPr>
          <w:rFonts w:ascii="Times New Roman" w:hAnsi="Times New Roman" w:cs="Times New Roman"/>
          <w:sz w:val="24"/>
          <w:szCs w:val="24"/>
        </w:rPr>
        <w:t xml:space="preserve"> and </w:t>
      </w:r>
      <w:r>
        <w:rPr>
          <w:rFonts w:ascii="Times New Roman" w:hAnsi="Times New Roman" w:cs="Times New Roman"/>
          <w:b/>
          <w:sz w:val="24"/>
          <w:szCs w:val="24"/>
        </w:rPr>
        <w:t>22</w:t>
      </w:r>
      <w:r>
        <w:rPr>
          <w:rFonts w:ascii="Times New Roman" w:hAnsi="Times New Roman" w:cs="Times New Roman"/>
          <w:sz w:val="24"/>
          <w:szCs w:val="24"/>
        </w:rPr>
        <w:t xml:space="preserve">, (for which 100 decoys were identified for each of them). The extracted decoys have similar physicochemical properties (MW, HBA, HBD, </w:t>
      </w:r>
      <w:proofErr w:type="spellStart"/>
      <w:r>
        <w:rPr>
          <w:rFonts w:ascii="Times New Roman" w:hAnsi="Times New Roman" w:cs="Times New Roman"/>
          <w:sz w:val="24"/>
          <w:szCs w:val="24"/>
        </w:rPr>
        <w:t>logP</w:t>
      </w:r>
      <w:proofErr w:type="spellEnd"/>
      <w:r>
        <w:rPr>
          <w:rFonts w:ascii="Times New Roman" w:hAnsi="Times New Roman" w:cs="Times New Roman"/>
          <w:sz w:val="24"/>
          <w:szCs w:val="24"/>
        </w:rPr>
        <w:t xml:space="preserve"> and RBN) with queries but dissimilar 2-D topology. Therefore, 179 compounds designated as actives and 1350 decoys entitled as inactive were used for virtual screening (VS) experiments in order to find matches over the obtained pharmacophore hypotheses. The fitness scores were used for the ranking of the compounds over the best pharmacophore hypothesis.</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References</w:t>
      </w:r>
    </w:p>
    <w:p>
      <w:pPr>
        <w:pStyle w:val="EndnoteText"/>
        <w:spacing w:line="360" w:lineRule="auto"/>
        <w:jc w:val="both"/>
        <w:rPr>
          <w:sz w:val="24"/>
          <w:szCs w:val="24"/>
        </w:rPr>
      </w:pPr>
      <w:r>
        <w:rPr>
          <w:sz w:val="24"/>
          <w:szCs w:val="24"/>
          <w:lang w:val="en-GB"/>
        </w:rPr>
        <w:t xml:space="preserve">1. </w:t>
      </w:r>
      <w:r>
        <w:rPr>
          <w:sz w:val="24"/>
          <w:szCs w:val="24"/>
        </w:rPr>
        <w:t xml:space="preserve">Schrödinger Release 2016-1: </w:t>
      </w:r>
      <w:proofErr w:type="spellStart"/>
      <w:r>
        <w:rPr>
          <w:sz w:val="24"/>
          <w:szCs w:val="24"/>
        </w:rPr>
        <w:t>LigPrep</w:t>
      </w:r>
      <w:proofErr w:type="spellEnd"/>
      <w:r>
        <w:rPr>
          <w:sz w:val="24"/>
          <w:szCs w:val="24"/>
        </w:rPr>
        <w:t xml:space="preserve"> v3.1 (2016) Schrödinger, LLC, New York, NY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lastRenderedPageBreak/>
        <w:t xml:space="preserve">2. </w:t>
      </w:r>
      <w:proofErr w:type="spellStart"/>
      <w:r>
        <w:rPr>
          <w:rFonts w:ascii="Times New Roman" w:hAnsi="Times New Roman" w:cs="Times New Roman"/>
          <w:sz w:val="24"/>
          <w:szCs w:val="24"/>
        </w:rPr>
        <w:t>K.S.Watts</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Dalal</w:t>
      </w:r>
      <w:proofErr w:type="spellEnd"/>
      <w:r>
        <w:rPr>
          <w:rFonts w:ascii="Times New Roman" w:hAnsi="Times New Roman" w:cs="Times New Roman"/>
          <w:sz w:val="24"/>
          <w:szCs w:val="24"/>
        </w:rPr>
        <w:t xml:space="preserve">, R. B. Murphy, W. Sherman, R.A. </w:t>
      </w:r>
      <w:proofErr w:type="spellStart"/>
      <w:r>
        <w:rPr>
          <w:rFonts w:ascii="Times New Roman" w:hAnsi="Times New Roman" w:cs="Times New Roman"/>
          <w:sz w:val="24"/>
          <w:szCs w:val="24"/>
        </w:rPr>
        <w:t>Friesner</w:t>
      </w:r>
      <w:proofErr w:type="spellEnd"/>
      <w:r>
        <w:rPr>
          <w:rFonts w:ascii="Times New Roman" w:hAnsi="Times New Roman" w:cs="Times New Roman"/>
          <w:sz w:val="24"/>
          <w:szCs w:val="24"/>
        </w:rPr>
        <w:t xml:space="preserve">, J.C. Shelley, </w:t>
      </w:r>
      <w:proofErr w:type="spellStart"/>
      <w:r>
        <w:rPr>
          <w:rFonts w:ascii="Times New Roman" w:hAnsi="Times New Roman" w:cs="Times New Roman"/>
          <w:i/>
          <w:sz w:val="24"/>
          <w:szCs w:val="24"/>
        </w:rPr>
        <w:t>J.Chem</w:t>
      </w:r>
      <w:proofErr w:type="spellEnd"/>
      <w:r>
        <w:rPr>
          <w:rFonts w:ascii="Times New Roman" w:hAnsi="Times New Roman" w:cs="Times New Roman"/>
          <w:i/>
          <w:sz w:val="24"/>
          <w:szCs w:val="24"/>
        </w:rPr>
        <w:t>. Inf. Model</w:t>
      </w:r>
      <w:r>
        <w:rPr>
          <w:rFonts w:ascii="Times New Roman" w:hAnsi="Times New Roman" w:cs="Times New Roman"/>
          <w:sz w:val="24"/>
          <w:szCs w:val="24"/>
        </w:rPr>
        <w:t xml:space="preserve">. </w:t>
      </w:r>
      <w:r>
        <w:rPr>
          <w:rFonts w:ascii="Times New Roman" w:hAnsi="Times New Roman" w:cs="Times New Roman"/>
          <w:b/>
          <w:sz w:val="24"/>
          <w:szCs w:val="24"/>
        </w:rPr>
        <w:t>50</w:t>
      </w:r>
      <w:r>
        <w:rPr>
          <w:rFonts w:ascii="Times New Roman" w:hAnsi="Times New Roman" w:cs="Times New Roman"/>
          <w:sz w:val="24"/>
          <w:szCs w:val="24"/>
        </w:rPr>
        <w:t xml:space="preserve"> (2010) 534 (</w:t>
      </w:r>
      <w:r>
        <w:rPr>
          <w:rFonts w:ascii="Times New Roman" w:hAnsi="Times New Roman" w:cs="Times New Roman"/>
          <w:color w:val="0070C0"/>
          <w:sz w:val="24"/>
          <w:szCs w:val="24"/>
          <w:u w:val="single"/>
        </w:rPr>
        <w:t>https://doi.org/10.1021/ci100015j)</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A. </w:t>
      </w:r>
      <w:proofErr w:type="spellStart"/>
      <w:r>
        <w:rPr>
          <w:rFonts w:ascii="Times New Roman" w:hAnsi="Times New Roman" w:cs="Times New Roman"/>
          <w:sz w:val="24"/>
          <w:szCs w:val="24"/>
        </w:rPr>
        <w:t>Golbraikh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Tropsha</w:t>
      </w:r>
      <w:proofErr w:type="spellEnd"/>
      <w:r>
        <w:rPr>
          <w:rFonts w:ascii="Times New Roman" w:hAnsi="Times New Roman" w:cs="Times New Roman"/>
          <w:sz w:val="24"/>
          <w:szCs w:val="24"/>
        </w:rPr>
        <w:t xml:space="preserve">, </w:t>
      </w:r>
      <w:r>
        <w:rPr>
          <w:rFonts w:ascii="Times New Roman" w:hAnsi="Times New Roman" w:cs="Times New Roman"/>
          <w:i/>
          <w:sz w:val="24"/>
          <w:szCs w:val="24"/>
        </w:rPr>
        <w:t>J. Mol. Graph. Model.</w:t>
      </w:r>
      <w:r>
        <w:rPr>
          <w:rFonts w:ascii="Times New Roman" w:hAnsi="Times New Roman" w:cs="Times New Roman"/>
          <w:sz w:val="24"/>
          <w:szCs w:val="24"/>
        </w:rPr>
        <w:t xml:space="preserve"> </w:t>
      </w:r>
      <w:r>
        <w:rPr>
          <w:rFonts w:ascii="Times New Roman" w:hAnsi="Times New Roman" w:cs="Times New Roman"/>
          <w:b/>
          <w:sz w:val="24"/>
          <w:szCs w:val="24"/>
        </w:rPr>
        <w:t>20</w:t>
      </w:r>
      <w:r>
        <w:rPr>
          <w:rFonts w:ascii="Times New Roman" w:hAnsi="Times New Roman" w:cs="Times New Roman"/>
          <w:sz w:val="24"/>
          <w:szCs w:val="24"/>
        </w:rPr>
        <w:t xml:space="preserve"> (2002) 269 (</w:t>
      </w:r>
      <w:hyperlink r:id="rId64" w:history="1">
        <w:r>
          <w:rPr>
            <w:rStyle w:val="Hyperlink"/>
            <w:rFonts w:ascii="Times New Roman" w:hAnsi="Times New Roman" w:cs="Times New Roman"/>
            <w:sz w:val="24"/>
            <w:szCs w:val="24"/>
          </w:rPr>
          <w:t>https://doi.org/10.1016/S1093-3263(01)00123-1</w:t>
        </w:r>
      </w:hyperlink>
      <w:r>
        <w:rPr>
          <w:rFonts w:ascii="Times New Roman" w:hAnsi="Times New Roman" w:cs="Times New Roman"/>
          <w:sz w:val="24"/>
          <w:szCs w:val="24"/>
        </w:rPr>
        <w: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A. </w:t>
      </w:r>
      <w:proofErr w:type="spellStart"/>
      <w:r>
        <w:rPr>
          <w:rFonts w:ascii="Times New Roman" w:hAnsi="Times New Roman" w:cs="Times New Roman"/>
          <w:sz w:val="24"/>
          <w:szCs w:val="24"/>
        </w:rPr>
        <w:t>Golbraikh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Tropsha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Comput</w:t>
      </w:r>
      <w:proofErr w:type="spellEnd"/>
      <w:r>
        <w:rPr>
          <w:rFonts w:ascii="Times New Roman" w:hAnsi="Times New Roman" w:cs="Times New Roman"/>
          <w:i/>
          <w:sz w:val="24"/>
          <w:szCs w:val="24"/>
        </w:rPr>
        <w:t>. Aided Mol. Des.</w:t>
      </w:r>
      <w:r>
        <w:rPr>
          <w:rFonts w:ascii="Times New Roman" w:hAnsi="Times New Roman" w:cs="Times New Roman"/>
          <w:sz w:val="24"/>
          <w:szCs w:val="24"/>
        </w:rPr>
        <w:t xml:space="preserve"> </w:t>
      </w:r>
      <w:r>
        <w:rPr>
          <w:rFonts w:ascii="Times New Roman" w:hAnsi="Times New Roman" w:cs="Times New Roman"/>
          <w:b/>
          <w:sz w:val="24"/>
          <w:szCs w:val="24"/>
        </w:rPr>
        <w:t xml:space="preserve">16 </w:t>
      </w:r>
      <w:r>
        <w:rPr>
          <w:rFonts w:ascii="Times New Roman" w:hAnsi="Times New Roman" w:cs="Times New Roman"/>
          <w:sz w:val="24"/>
          <w:szCs w:val="24"/>
        </w:rPr>
        <w:t>(2002) 357 (</w:t>
      </w:r>
      <w:hyperlink r:id="rId65" w:history="1">
        <w:r>
          <w:rPr>
            <w:rStyle w:val="Hyperlink"/>
            <w:rFonts w:ascii="Times New Roman" w:hAnsi="Times New Roman" w:cs="Times New Roman"/>
            <w:sz w:val="24"/>
            <w:szCs w:val="24"/>
          </w:rPr>
          <w:t>https://doi.org/10.1023/A:1020869118689</w:t>
        </w:r>
      </w:hyperlink>
      <w:r>
        <w:rPr>
          <w:rFonts w:ascii="Times New Roman" w:hAnsi="Times New Roman" w:cs="Times New Roman"/>
          <w:sz w:val="24"/>
          <w:szCs w:val="24"/>
        </w:rPr>
        <w:t>)</w:t>
      </w:r>
    </w:p>
    <w:p>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5. </w:t>
      </w:r>
      <w:r>
        <w:rPr>
          <w:rFonts w:ascii="Times New Roman" w:hAnsi="Times New Roman" w:cs="Times New Roman"/>
          <w:sz w:val="24"/>
          <w:szCs w:val="24"/>
          <w:lang w:val="en-GB"/>
        </w:rPr>
        <w:t xml:space="preserve">A. </w:t>
      </w:r>
      <w:proofErr w:type="spellStart"/>
      <w:r>
        <w:rPr>
          <w:rFonts w:ascii="Times New Roman" w:hAnsi="Times New Roman" w:cs="Times New Roman"/>
          <w:sz w:val="24"/>
          <w:szCs w:val="24"/>
          <w:lang w:val="en-GB"/>
        </w:rPr>
        <w:t>Golbraikh</w:t>
      </w:r>
      <w:proofErr w:type="spellEnd"/>
      <w:r>
        <w:rPr>
          <w:rFonts w:ascii="Times New Roman" w:hAnsi="Times New Roman" w:cs="Times New Roman"/>
          <w:sz w:val="24"/>
          <w:szCs w:val="24"/>
          <w:lang w:val="en-GB"/>
        </w:rPr>
        <w:t xml:space="preserve">, M. Shen, Z. Xiao, Y.-D. Xiao, K.-H. Lee, A. </w:t>
      </w:r>
      <w:proofErr w:type="spellStart"/>
      <w:r>
        <w:rPr>
          <w:rFonts w:ascii="Times New Roman" w:hAnsi="Times New Roman" w:cs="Times New Roman"/>
          <w:sz w:val="24"/>
          <w:szCs w:val="24"/>
          <w:lang w:val="en-GB"/>
        </w:rPr>
        <w:t>Tropsha</w:t>
      </w:r>
      <w:proofErr w:type="spellEnd"/>
      <w:r>
        <w:rPr>
          <w:rFonts w:ascii="Times New Roman" w:hAnsi="Times New Roman" w:cs="Times New Roman"/>
          <w:sz w:val="24"/>
          <w:szCs w:val="24"/>
          <w:lang w:val="en-GB"/>
        </w:rPr>
        <w:t xml:space="preserve">, </w:t>
      </w:r>
      <w:r>
        <w:rPr>
          <w:rFonts w:ascii="Times New Roman" w:hAnsi="Times New Roman" w:cs="Times New Roman"/>
          <w:bCs/>
          <w:i/>
          <w:iCs/>
          <w:sz w:val="24"/>
          <w:szCs w:val="24"/>
        </w:rPr>
        <w:t xml:space="preserve">J. </w:t>
      </w:r>
      <w:proofErr w:type="spellStart"/>
      <w:r>
        <w:rPr>
          <w:rFonts w:ascii="Times New Roman" w:hAnsi="Times New Roman" w:cs="Times New Roman"/>
          <w:bCs/>
          <w:i/>
          <w:iCs/>
          <w:sz w:val="24"/>
          <w:szCs w:val="24"/>
        </w:rPr>
        <w:t>Comput</w:t>
      </w:r>
      <w:proofErr w:type="spellEnd"/>
      <w:r>
        <w:rPr>
          <w:rFonts w:ascii="Times New Roman" w:hAnsi="Times New Roman" w:cs="Times New Roman"/>
          <w:bCs/>
          <w:i/>
          <w:iCs/>
          <w:sz w:val="24"/>
          <w:szCs w:val="24"/>
        </w:rPr>
        <w:t>. Aid. Mol. Des.</w:t>
      </w:r>
      <w:r>
        <w:rPr>
          <w:rFonts w:ascii="Times New Roman" w:hAnsi="Times New Roman" w:cs="Times New Roman"/>
          <w:i/>
          <w:iCs/>
          <w:sz w:val="24"/>
          <w:szCs w:val="24"/>
          <w:lang w:val="en-GB"/>
        </w:rPr>
        <w:t xml:space="preserve"> </w:t>
      </w:r>
      <w:r>
        <w:rPr>
          <w:rFonts w:ascii="Times New Roman" w:hAnsi="Times New Roman" w:cs="Times New Roman"/>
          <w:b/>
          <w:bCs/>
          <w:sz w:val="24"/>
          <w:szCs w:val="24"/>
          <w:lang w:val="en-GB"/>
        </w:rPr>
        <w:t>17</w:t>
      </w:r>
      <w:r>
        <w:rPr>
          <w:rFonts w:ascii="Times New Roman" w:hAnsi="Times New Roman" w:cs="Times New Roman"/>
          <w:bCs/>
          <w:sz w:val="24"/>
          <w:szCs w:val="24"/>
          <w:lang w:val="en-GB"/>
        </w:rPr>
        <w:t xml:space="preserve"> (</w:t>
      </w:r>
      <w:r>
        <w:rPr>
          <w:rFonts w:ascii="Times New Roman" w:hAnsi="Times New Roman" w:cs="Times New Roman"/>
          <w:sz w:val="24"/>
          <w:szCs w:val="24"/>
          <w:lang w:val="en-GB"/>
        </w:rPr>
        <w:t>2003)</w:t>
      </w: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241 (</w:t>
      </w:r>
      <w:r>
        <w:rPr>
          <w:rFonts w:ascii="Times New Roman" w:hAnsi="Times New Roman" w:cs="Times New Roman"/>
          <w:color w:val="0070C0"/>
          <w:sz w:val="24"/>
          <w:szCs w:val="24"/>
          <w:u w:val="single"/>
        </w:rPr>
        <w:t>https://doi.org/10.1023/A:1025386326946</w:t>
      </w:r>
      <w:r>
        <w:rPr>
          <w:rFonts w:ascii="Times New Roman" w:hAnsi="Times New Roman" w:cs="Times New Roman"/>
          <w:sz w:val="24"/>
          <w:szCs w:val="24"/>
        </w:rPr>
        <w:t>)</w:t>
      </w:r>
    </w:p>
    <w:p>
      <w:pPr>
        <w:spacing w:after="0" w:line="360" w:lineRule="auto"/>
        <w:jc w:val="both"/>
        <w:rPr>
          <w:rFonts w:ascii="Times New Roman" w:hAnsi="Times New Roman" w:cs="Times New Roman"/>
          <w:i/>
          <w:sz w:val="24"/>
          <w:szCs w:val="24"/>
        </w:rPr>
      </w:pPr>
      <w:r>
        <w:rPr>
          <w:rFonts w:ascii="Times New Roman" w:hAnsi="Times New Roman" w:cs="Times New Roman"/>
          <w:sz w:val="24"/>
          <w:szCs w:val="24"/>
          <w:lang w:val="en-GB"/>
        </w:rPr>
        <w:t xml:space="preserve">6.  P. Willett, </w:t>
      </w:r>
      <w:r>
        <w:rPr>
          <w:rFonts w:ascii="Times New Roman" w:hAnsi="Times New Roman" w:cs="Times New Roman"/>
          <w:bCs/>
          <w:i/>
          <w:sz w:val="24"/>
          <w:szCs w:val="24"/>
        </w:rPr>
        <w:t xml:space="preserve">Drug. </w:t>
      </w:r>
      <w:proofErr w:type="spellStart"/>
      <w:r>
        <w:rPr>
          <w:rFonts w:ascii="Times New Roman" w:hAnsi="Times New Roman" w:cs="Times New Roman"/>
          <w:bCs/>
          <w:i/>
          <w:sz w:val="24"/>
          <w:szCs w:val="24"/>
        </w:rPr>
        <w:t>Discov</w:t>
      </w:r>
      <w:proofErr w:type="spellEnd"/>
      <w:r>
        <w:rPr>
          <w:rFonts w:ascii="Times New Roman" w:hAnsi="Times New Roman" w:cs="Times New Roman"/>
          <w:bCs/>
          <w:i/>
          <w:sz w:val="24"/>
          <w:szCs w:val="24"/>
        </w:rPr>
        <w:t>. Today.</w:t>
      </w:r>
      <w:r>
        <w:rPr>
          <w:rFonts w:ascii="Times New Roman" w:hAnsi="Times New Roman" w:cs="Times New Roman"/>
          <w:i/>
          <w:sz w:val="24"/>
          <w:szCs w:val="24"/>
        </w:rPr>
        <w:t xml:space="preserve"> </w:t>
      </w:r>
      <w:r>
        <w:rPr>
          <w:rFonts w:ascii="Times New Roman" w:hAnsi="Times New Roman" w:cs="Times New Roman"/>
          <w:b/>
          <w:sz w:val="24"/>
          <w:szCs w:val="24"/>
          <w:lang w:val="en-GB"/>
        </w:rPr>
        <w:t>11</w:t>
      </w:r>
      <w:r>
        <w:rPr>
          <w:rFonts w:ascii="Times New Roman" w:hAnsi="Times New Roman" w:cs="Times New Roman"/>
          <w:sz w:val="24"/>
          <w:szCs w:val="24"/>
          <w:lang w:val="en-GB"/>
        </w:rPr>
        <w:t xml:space="preserve"> (2006) 1046 </w:t>
      </w:r>
      <w:hyperlink r:id="rId66" w:history="1">
        <w:r>
          <w:rPr>
            <w:rStyle w:val="Hyperlink"/>
            <w:rFonts w:ascii="Times New Roman" w:hAnsi="Times New Roman" w:cs="Times New Roman"/>
            <w:color w:val="2E74B5" w:themeColor="accent1" w:themeShade="BF"/>
            <w:sz w:val="24"/>
            <w:szCs w:val="24"/>
          </w:rPr>
          <w:t>10.1016/j.drudis.2006.10.005</w:t>
        </w:r>
      </w:hyperlink>
    </w:p>
    <w:p>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7. </w:t>
      </w:r>
      <w:r>
        <w:rPr>
          <w:rFonts w:ascii="Times New Roman" w:hAnsi="Times New Roman" w:cs="Times New Roman"/>
          <w:sz w:val="24"/>
          <w:szCs w:val="24"/>
          <w:lang w:val="en-GB"/>
        </w:rPr>
        <w:t xml:space="preserve">S. </w:t>
      </w:r>
      <w:proofErr w:type="spellStart"/>
      <w:r>
        <w:rPr>
          <w:rFonts w:ascii="Times New Roman" w:hAnsi="Times New Roman" w:cs="Times New Roman"/>
          <w:sz w:val="24"/>
          <w:szCs w:val="24"/>
          <w:lang w:val="en-GB"/>
        </w:rPr>
        <w:t>Beisken</w:t>
      </w:r>
      <w:proofErr w:type="spellEnd"/>
      <w:r>
        <w:rPr>
          <w:rFonts w:ascii="Times New Roman" w:hAnsi="Times New Roman" w:cs="Times New Roman"/>
          <w:sz w:val="24"/>
          <w:szCs w:val="24"/>
          <w:lang w:val="en-GB"/>
        </w:rPr>
        <w:t xml:space="preserve">, T. </w:t>
      </w:r>
      <w:proofErr w:type="spellStart"/>
      <w:r>
        <w:rPr>
          <w:rFonts w:ascii="Times New Roman" w:hAnsi="Times New Roman" w:cs="Times New Roman"/>
          <w:sz w:val="24"/>
          <w:szCs w:val="24"/>
          <w:lang w:val="en-GB"/>
        </w:rPr>
        <w:t>Meinl</w:t>
      </w:r>
      <w:proofErr w:type="spellEnd"/>
      <w:r>
        <w:rPr>
          <w:rFonts w:ascii="Times New Roman" w:hAnsi="Times New Roman" w:cs="Times New Roman"/>
          <w:sz w:val="24"/>
          <w:szCs w:val="24"/>
          <w:lang w:val="en-GB"/>
        </w:rPr>
        <w:t xml:space="preserve">, B. </w:t>
      </w:r>
      <w:proofErr w:type="spellStart"/>
      <w:r>
        <w:rPr>
          <w:rFonts w:ascii="Times New Roman" w:hAnsi="Times New Roman" w:cs="Times New Roman"/>
          <w:sz w:val="24"/>
          <w:szCs w:val="24"/>
          <w:lang w:val="en-GB"/>
        </w:rPr>
        <w:t>Wiswedel</w:t>
      </w:r>
      <w:proofErr w:type="spellEnd"/>
      <w:r>
        <w:rPr>
          <w:rFonts w:ascii="Times New Roman" w:hAnsi="Times New Roman" w:cs="Times New Roman"/>
          <w:sz w:val="24"/>
          <w:szCs w:val="24"/>
          <w:lang w:val="en-GB"/>
        </w:rPr>
        <w:t xml:space="preserve">, L. F. de </w:t>
      </w:r>
      <w:proofErr w:type="spellStart"/>
      <w:r>
        <w:rPr>
          <w:rFonts w:ascii="Times New Roman" w:hAnsi="Times New Roman" w:cs="Times New Roman"/>
          <w:sz w:val="24"/>
          <w:szCs w:val="24"/>
          <w:lang w:val="en-GB"/>
        </w:rPr>
        <w:t>Figueiredo</w:t>
      </w:r>
      <w:proofErr w:type="spellEnd"/>
      <w:r>
        <w:rPr>
          <w:rFonts w:ascii="Times New Roman" w:hAnsi="Times New Roman" w:cs="Times New Roman"/>
          <w:sz w:val="24"/>
          <w:szCs w:val="24"/>
          <w:lang w:val="en-GB"/>
        </w:rPr>
        <w:t xml:space="preserve">, M. Berthold, C. Steinbeck, </w:t>
      </w:r>
      <w:r>
        <w:rPr>
          <w:rFonts w:ascii="Times New Roman" w:hAnsi="Times New Roman" w:cs="Times New Roman"/>
          <w:i/>
          <w:iCs/>
          <w:sz w:val="24"/>
          <w:szCs w:val="24"/>
          <w:lang w:val="en-GB"/>
        </w:rPr>
        <w:t xml:space="preserve">BMC Bioinformatics </w:t>
      </w:r>
      <w:r>
        <w:rPr>
          <w:rFonts w:ascii="Times New Roman" w:hAnsi="Times New Roman" w:cs="Times New Roman"/>
          <w:b/>
          <w:bCs/>
          <w:sz w:val="24"/>
          <w:szCs w:val="24"/>
          <w:lang w:val="en-GB"/>
        </w:rPr>
        <w:t>14</w:t>
      </w:r>
      <w:r>
        <w:rPr>
          <w:rFonts w:ascii="Times New Roman" w:hAnsi="Times New Roman" w:cs="Times New Roman"/>
          <w:sz w:val="24"/>
          <w:szCs w:val="24"/>
          <w:lang w:val="en-GB"/>
        </w:rPr>
        <w:t xml:space="preserve"> </w:t>
      </w:r>
      <w:r>
        <w:rPr>
          <w:rFonts w:ascii="Times New Roman" w:hAnsi="Times New Roman" w:cs="Times New Roman"/>
          <w:iCs/>
          <w:sz w:val="24"/>
          <w:szCs w:val="24"/>
          <w:lang w:val="en-GB"/>
        </w:rPr>
        <w:t>(</w:t>
      </w:r>
      <w:r>
        <w:rPr>
          <w:rFonts w:ascii="Times New Roman" w:hAnsi="Times New Roman" w:cs="Times New Roman"/>
          <w:sz w:val="24"/>
          <w:szCs w:val="24"/>
          <w:lang w:val="en-GB"/>
        </w:rPr>
        <w:t xml:space="preserve">2013) 257 </w:t>
      </w:r>
      <w:hyperlink r:id="rId67" w:history="1">
        <w:r>
          <w:rPr>
            <w:rStyle w:val="Hyperlink"/>
            <w:rFonts w:ascii="Times New Roman" w:hAnsi="Times New Roman" w:cs="Times New Roman"/>
            <w:sz w:val="24"/>
            <w:szCs w:val="24"/>
          </w:rPr>
          <w:t>https://doi.org/10.1186/1471-2105-14-257</w:t>
        </w:r>
      </w:hyperlink>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FILTER (2009) version 2.0.2 </w:t>
      </w:r>
      <w:proofErr w:type="spellStart"/>
      <w:r>
        <w:rPr>
          <w:rFonts w:ascii="Times New Roman" w:hAnsi="Times New Roman" w:cs="Times New Roman"/>
          <w:sz w:val="24"/>
          <w:szCs w:val="24"/>
        </w:rPr>
        <w:t>OpenEye</w:t>
      </w:r>
      <w:proofErr w:type="spellEnd"/>
      <w:r>
        <w:rPr>
          <w:rFonts w:ascii="Times New Roman" w:hAnsi="Times New Roman" w:cs="Times New Roman"/>
          <w:sz w:val="24"/>
          <w:szCs w:val="24"/>
        </w:rPr>
        <w:t xml:space="preserve"> Scientific Software, Inc. Santa Fe, NM, </w:t>
      </w:r>
      <w:proofErr w:type="gramStart"/>
      <w:r>
        <w:rPr>
          <w:rFonts w:ascii="Times New Roman" w:hAnsi="Times New Roman" w:cs="Times New Roman"/>
          <w:sz w:val="24"/>
          <w:szCs w:val="24"/>
        </w:rPr>
        <w:t>USA</w:t>
      </w:r>
      <w:proofErr w:type="gramEnd"/>
      <w:r>
        <w:rPr>
          <w:rFonts w:ascii="Times New Roman" w:hAnsi="Times New Roman" w:cs="Times New Roman"/>
          <w:sz w:val="24"/>
          <w:szCs w:val="24"/>
        </w:rPr>
        <w:t>. www.eyesopen.com</w:t>
      </w:r>
    </w:p>
    <w:p>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A. P. Bento, A. </w:t>
      </w:r>
      <w:proofErr w:type="spellStart"/>
      <w:r>
        <w:rPr>
          <w:rFonts w:ascii="Times New Roman" w:hAnsi="Times New Roman" w:cs="Times New Roman"/>
          <w:sz w:val="24"/>
          <w:szCs w:val="24"/>
        </w:rPr>
        <w:t>Gaulton</w:t>
      </w:r>
      <w:proofErr w:type="spellEnd"/>
      <w:r>
        <w:rPr>
          <w:rFonts w:ascii="Times New Roman" w:hAnsi="Times New Roman" w:cs="Times New Roman"/>
          <w:sz w:val="24"/>
          <w:szCs w:val="24"/>
        </w:rPr>
        <w:t xml:space="preserve">, A. Hersey, L. J. Bellis, J. Chambers, M. Davies, et al., </w:t>
      </w:r>
      <w:r>
        <w:rPr>
          <w:rFonts w:ascii="Times New Roman" w:hAnsi="Times New Roman" w:cs="Times New Roman"/>
          <w:i/>
          <w:sz w:val="24"/>
          <w:szCs w:val="24"/>
        </w:rPr>
        <w:t xml:space="preserve">Nucleic Acids Res. </w:t>
      </w:r>
      <w:r>
        <w:rPr>
          <w:rFonts w:ascii="Times New Roman" w:hAnsi="Times New Roman" w:cs="Times New Roman"/>
          <w:b/>
          <w:sz w:val="24"/>
          <w:szCs w:val="24"/>
        </w:rPr>
        <w:t xml:space="preserve">42 </w:t>
      </w:r>
      <w:r>
        <w:rPr>
          <w:rFonts w:ascii="Times New Roman" w:hAnsi="Times New Roman" w:cs="Times New Roman"/>
          <w:sz w:val="24"/>
          <w:szCs w:val="24"/>
        </w:rPr>
        <w:t>(2014) 1083 (</w:t>
      </w:r>
      <w:hyperlink r:id="rId68" w:tgtFrame="_blank" w:history="1">
        <w:r>
          <w:rPr>
            <w:rStyle w:val="Hyperlink"/>
            <w:rFonts w:ascii="Times New Roman" w:hAnsi="Times New Roman" w:cs="Times New Roman"/>
            <w:sz w:val="24"/>
            <w:szCs w:val="24"/>
          </w:rPr>
          <w:t>http://dx.doi.org/10.1093/nar/gkt1031</w:t>
        </w:r>
      </w:hyperlink>
      <w:r>
        <w:rPr>
          <w:rFonts w:ascii="Times New Roman" w:hAnsi="Times New Roman" w:cs="Times New Roman"/>
          <w:sz w:val="24"/>
          <w:szCs w:val="24"/>
        </w:rPr>
        <w:t>)</w:t>
      </w:r>
    </w:p>
    <w:p>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D. F. </w:t>
      </w:r>
      <w:proofErr w:type="spellStart"/>
      <w:r>
        <w:rPr>
          <w:rFonts w:ascii="Times New Roman" w:hAnsi="Times New Roman" w:cs="Times New Roman"/>
          <w:sz w:val="24"/>
          <w:szCs w:val="24"/>
        </w:rPr>
        <w:t>Veber</w:t>
      </w:r>
      <w:proofErr w:type="spellEnd"/>
      <w:r>
        <w:rPr>
          <w:rFonts w:ascii="Times New Roman" w:hAnsi="Times New Roman" w:cs="Times New Roman"/>
          <w:sz w:val="24"/>
          <w:szCs w:val="24"/>
        </w:rPr>
        <w:t xml:space="preserve">, S. R. Johnson, H. Y. Cheng, B. R. Smith, K. W. Ward, K. D. </w:t>
      </w:r>
      <w:proofErr w:type="spellStart"/>
      <w:r>
        <w:rPr>
          <w:rFonts w:ascii="Times New Roman" w:hAnsi="Times New Roman" w:cs="Times New Roman"/>
          <w:sz w:val="24"/>
          <w:szCs w:val="24"/>
        </w:rPr>
        <w:t>Kipple</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J. Med. Chem. </w:t>
      </w:r>
      <w:r>
        <w:rPr>
          <w:rFonts w:ascii="Times New Roman" w:hAnsi="Times New Roman" w:cs="Times New Roman"/>
          <w:b/>
          <w:sz w:val="24"/>
          <w:szCs w:val="24"/>
        </w:rPr>
        <w:t xml:space="preserve">45 </w:t>
      </w:r>
      <w:r>
        <w:rPr>
          <w:rFonts w:ascii="Times New Roman" w:hAnsi="Times New Roman" w:cs="Times New Roman"/>
          <w:sz w:val="24"/>
          <w:szCs w:val="24"/>
        </w:rPr>
        <w:t>(2002) 2615 (</w:t>
      </w:r>
      <w:hyperlink r:id="rId69" w:history="1">
        <w:r>
          <w:rPr>
            <w:rStyle w:val="Hyperlink"/>
            <w:rFonts w:ascii="Times New Roman" w:hAnsi="Times New Roman" w:cs="Times New Roman"/>
            <w:sz w:val="24"/>
            <w:szCs w:val="24"/>
          </w:rPr>
          <w:t>http://dx.doi.org/10.1021/jm020017n</w:t>
        </w:r>
      </w:hyperlink>
      <w:r>
        <w:rPr>
          <w:rFonts w:ascii="Times New Roman" w:hAnsi="Times New Roman" w:cs="Times New Roman"/>
          <w:sz w:val="24"/>
          <w:szCs w:val="24"/>
        </w:rPr>
        <w:t>)</w:t>
      </w:r>
    </w:p>
    <w:p>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Y. C. Martin, </w:t>
      </w:r>
      <w:r>
        <w:rPr>
          <w:rFonts w:ascii="Times New Roman" w:hAnsi="Times New Roman" w:cs="Times New Roman"/>
          <w:i/>
          <w:sz w:val="24"/>
          <w:szCs w:val="24"/>
        </w:rPr>
        <w:t xml:space="preserve">J. Med. Chem. </w:t>
      </w:r>
      <w:r>
        <w:rPr>
          <w:rFonts w:ascii="Times New Roman" w:hAnsi="Times New Roman" w:cs="Times New Roman"/>
          <w:b/>
          <w:sz w:val="24"/>
          <w:szCs w:val="24"/>
        </w:rPr>
        <w:t xml:space="preserve">48 </w:t>
      </w:r>
      <w:r>
        <w:rPr>
          <w:rFonts w:ascii="Times New Roman" w:hAnsi="Times New Roman" w:cs="Times New Roman"/>
          <w:sz w:val="24"/>
          <w:szCs w:val="24"/>
        </w:rPr>
        <w:t>(2005) 3164 (</w:t>
      </w:r>
      <w:hyperlink r:id="rId70" w:tgtFrame="_blank" w:history="1">
        <w:r>
          <w:rPr>
            <w:rStyle w:val="Hyperlink"/>
            <w:rFonts w:ascii="Times New Roman" w:hAnsi="Times New Roman" w:cs="Times New Roman"/>
            <w:sz w:val="24"/>
            <w:szCs w:val="24"/>
          </w:rPr>
          <w:t>http://dx.doi.org/10.1021/jm0492002</w:t>
        </w:r>
      </w:hyperlink>
      <w:r>
        <w:rPr>
          <w:rFonts w:ascii="Times New Roman" w:hAnsi="Times New Roman" w:cs="Times New Roman"/>
          <w:sz w:val="24"/>
          <w:szCs w:val="24"/>
        </w:rPr>
        <w:t>)</w:t>
      </w:r>
    </w:p>
    <w:p>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M. M. </w:t>
      </w:r>
      <w:proofErr w:type="spellStart"/>
      <w:r>
        <w:rPr>
          <w:rFonts w:ascii="Times New Roman" w:hAnsi="Times New Roman" w:cs="Times New Roman"/>
          <w:sz w:val="24"/>
          <w:szCs w:val="24"/>
        </w:rPr>
        <w:t>Mysinger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Carchia</w:t>
      </w:r>
      <w:proofErr w:type="spellEnd"/>
      <w:r>
        <w:rPr>
          <w:rFonts w:ascii="Times New Roman" w:hAnsi="Times New Roman" w:cs="Times New Roman"/>
          <w:sz w:val="24"/>
          <w:szCs w:val="24"/>
        </w:rPr>
        <w:t xml:space="preserve">, J. J. Irwin, B. K. </w:t>
      </w:r>
      <w:proofErr w:type="spellStart"/>
      <w:r>
        <w:rPr>
          <w:rFonts w:ascii="Times New Roman" w:hAnsi="Times New Roman" w:cs="Times New Roman"/>
          <w:sz w:val="24"/>
          <w:szCs w:val="24"/>
        </w:rPr>
        <w:t>Shoichet</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J. Med. Chem. </w:t>
      </w:r>
      <w:r>
        <w:rPr>
          <w:rFonts w:ascii="Times New Roman" w:hAnsi="Times New Roman" w:cs="Times New Roman"/>
          <w:b/>
          <w:sz w:val="24"/>
          <w:szCs w:val="24"/>
        </w:rPr>
        <w:t xml:space="preserve">55 </w:t>
      </w:r>
      <w:r>
        <w:rPr>
          <w:rFonts w:ascii="Times New Roman" w:hAnsi="Times New Roman" w:cs="Times New Roman"/>
          <w:sz w:val="24"/>
          <w:szCs w:val="24"/>
        </w:rPr>
        <w:t>(2012) 6582 (</w:t>
      </w:r>
      <w:hyperlink r:id="rId71" w:tgtFrame="_blank" w:history="1">
        <w:r>
          <w:rPr>
            <w:rStyle w:val="Hyperlink"/>
            <w:rFonts w:ascii="Times New Roman" w:hAnsi="Times New Roman" w:cs="Times New Roman"/>
            <w:sz w:val="24"/>
            <w:szCs w:val="24"/>
          </w:rPr>
          <w:t>http://dx.doi.org/10.1021/jm300687e</w:t>
        </w:r>
      </w:hyperlink>
      <w:r>
        <w:rPr>
          <w:rFonts w:ascii="Times New Roman" w:hAnsi="Times New Roman" w:cs="Times New Roman"/>
          <w:sz w:val="24"/>
          <w:szCs w:val="24"/>
        </w:rPr>
        <w:t xml:space="preserve">) </w:t>
      </w:r>
    </w:p>
    <w:p>
      <w:pPr>
        <w:jc w:val="both"/>
        <w:rPr>
          <w:rFonts w:ascii="Times New Roman" w:hAnsi="Times New Roman" w:cs="Times New Roman"/>
          <w:sz w:val="24"/>
          <w:szCs w:val="24"/>
          <w:lang w:val="en-GB"/>
        </w:rPr>
      </w:pPr>
    </w:p>
    <w:sect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pP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t>*</w:t>
      </w:r>
      <w:r>
        <w:t xml:space="preserve"> </w:t>
      </w:r>
      <w:r>
        <w:rPr>
          <w:rFonts w:ascii="Times New Roman" w:hAnsi="Times New Roman"/>
          <w:sz w:val="24"/>
          <w:szCs w:val="24"/>
        </w:rPr>
        <w:t>ana_borota@acad-icht.tm.edu.ro</w:t>
      </w:r>
    </w:p>
  </w:footnote>
  <w:footnote w:id="2">
    <w:p>
      <w:pPr>
        <w:pStyle w:val="FootnoteText"/>
      </w:pPr>
      <w:r>
        <w:rPr>
          <w:rStyle w:val="FootnoteReference"/>
        </w:rPr>
        <w:t>*</w:t>
      </w:r>
      <w:r>
        <w:t xml:space="preserve"> </w:t>
      </w:r>
      <w:r>
        <w:rPr>
          <w:rFonts w:ascii="Times New Roman" w:hAnsi="Times New Roman"/>
          <w:sz w:val="24"/>
          <w:szCs w:val="24"/>
        </w:rPr>
        <w:t xml:space="preserve">lumi_crisan@acad-icht.tm.edu.ro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pP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74C7A"/>
    <w:multiLevelType w:val="hybridMultilevel"/>
    <w:tmpl w:val="703C29CA"/>
    <w:lvl w:ilvl="0" w:tplc="A246E41E">
      <w:start w:val="1"/>
      <w:numFmt w:val="decimal"/>
      <w:lvlText w:val="%1."/>
      <w:lvlJc w:val="left"/>
      <w:pPr>
        <w:ind w:left="717" w:hanging="360"/>
      </w:pPr>
      <w:rPr>
        <w:rFonts w:hint="default"/>
        <w:b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W1MDcBImNLAwNLSyUdpeDU4uLM/DyQAkPjWgAKV4QaLQAAAA=="/>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BF3B5-01B2-4628-A825-BDD4FA54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en-GB"/>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rPr>
      <w:lang w:val="en-GB"/>
    </w:rPr>
  </w:style>
  <w:style w:type="paragraph" w:styleId="EndnoteText">
    <w:name w:val="endnote text"/>
    <w:basedOn w:val="Normal"/>
    <w:link w:val="EndnoteTextChar"/>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val="en-US" w:eastAsia="ar-SA"/>
    </w:rPr>
  </w:style>
  <w:style w:type="character" w:customStyle="1" w:styleId="absmetadatalabel">
    <w:name w:val="abs_metadata_label"/>
    <w:basedOn w:val="DefaultParagraphFont"/>
  </w:style>
  <w:style w:type="paragraph" w:customStyle="1" w:styleId="Title1">
    <w:name w:val="Title1"/>
    <w:basedOn w:val="Normal"/>
    <w:next w:val="Normal"/>
    <w:qFormat/>
    <w:pPr>
      <w:spacing w:before="120" w:after="0" w:line="480" w:lineRule="exact"/>
    </w:pPr>
    <w:rPr>
      <w:rFonts w:ascii="Arial" w:eastAsia="MS Mincho" w:hAnsi="Arial" w:cs="Times New Roman"/>
      <w:b/>
      <w:sz w:val="32"/>
      <w:szCs w:val="28"/>
      <w:lang w:val="de-DE" w:eastAsia="ja-JP"/>
    </w:rPr>
  </w:style>
  <w:style w:type="paragraph" w:customStyle="1" w:styleId="Authors">
    <w:name w:val="Authors"/>
    <w:basedOn w:val="Normal"/>
    <w:qFormat/>
    <w:pPr>
      <w:spacing w:before="120" w:after="120" w:line="320" w:lineRule="exact"/>
    </w:pPr>
    <w:rPr>
      <w:rFonts w:ascii="Arial" w:eastAsia="MS Mincho" w:hAnsi="Arial" w:cs="Times New Roman"/>
      <w:szCs w:val="24"/>
      <w:lang w:val="en-GB" w:eastAsia="ja-JP"/>
    </w:rPr>
  </w:style>
  <w:style w:type="paragraph" w:customStyle="1" w:styleId="Adress">
    <w:name w:val="Adress"/>
    <w:basedOn w:val="Normal"/>
    <w:qFormat/>
    <w:pPr>
      <w:spacing w:after="0" w:line="180" w:lineRule="exact"/>
      <w:ind w:left="425" w:hanging="425"/>
    </w:pPr>
    <w:rPr>
      <w:rFonts w:ascii="Arial" w:eastAsia="MS Mincho" w:hAnsi="Arial" w:cs="Times New Roman"/>
      <w:sz w:val="14"/>
      <w:szCs w:val="20"/>
      <w:lang w:val="de-DE" w:eastAsia="ja-JP"/>
    </w:rPr>
  </w:style>
  <w:style w:type="paragraph" w:styleId="Header">
    <w:name w:val="header"/>
    <w:basedOn w:val="Normal"/>
    <w:link w:val="HeaderChar"/>
    <w:uiPriority w:val="99"/>
    <w:unhideWhenUsed/>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09900">
      <w:bodyDiv w:val="1"/>
      <w:marLeft w:val="0"/>
      <w:marRight w:val="0"/>
      <w:marTop w:val="0"/>
      <w:marBottom w:val="0"/>
      <w:divBdr>
        <w:top w:val="none" w:sz="0" w:space="0" w:color="auto"/>
        <w:left w:val="none" w:sz="0" w:space="0" w:color="auto"/>
        <w:bottom w:val="none" w:sz="0" w:space="0" w:color="auto"/>
        <w:right w:val="none" w:sz="0" w:space="0" w:color="auto"/>
      </w:divBdr>
    </w:div>
    <w:div w:id="811289834">
      <w:bodyDiv w:val="1"/>
      <w:marLeft w:val="0"/>
      <w:marRight w:val="0"/>
      <w:marTop w:val="0"/>
      <w:marBottom w:val="0"/>
      <w:divBdr>
        <w:top w:val="none" w:sz="0" w:space="0" w:color="auto"/>
        <w:left w:val="none" w:sz="0" w:space="0" w:color="auto"/>
        <w:bottom w:val="none" w:sz="0" w:space="0" w:color="auto"/>
        <w:right w:val="none" w:sz="0" w:space="0" w:color="auto"/>
      </w:divBdr>
    </w:div>
    <w:div w:id="127508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emf"/><Relationship Id="rId50" Type="http://schemas.openxmlformats.org/officeDocument/2006/relationships/oleObject" Target="embeddings/oleObject21.bin"/><Relationship Id="rId55" Type="http://schemas.openxmlformats.org/officeDocument/2006/relationships/image" Target="media/image24.emf"/><Relationship Id="rId63" Type="http://schemas.openxmlformats.org/officeDocument/2006/relationships/image" Target="media/image29.png"/><Relationship Id="rId68" Type="http://schemas.openxmlformats.org/officeDocument/2006/relationships/hyperlink" Target="http://dx.doi.org/10.1093/nar/gkt1031" TargetMode="External"/><Relationship Id="rId7" Type="http://schemas.openxmlformats.org/officeDocument/2006/relationships/header" Target="header1.xml"/><Relationship Id="rId71" Type="http://schemas.openxmlformats.org/officeDocument/2006/relationships/hyperlink" Target="http://dx.doi.org/10.1021/jm300687e" TargetMode="Externa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emf"/><Relationship Id="rId40" Type="http://schemas.openxmlformats.org/officeDocument/2006/relationships/oleObject" Target="embeddings/oleObject16.bin"/><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oleObject" Target="embeddings/oleObject25.bin"/><Relationship Id="rId66" Type="http://schemas.openxmlformats.org/officeDocument/2006/relationships/hyperlink" Target="https://doi.org/10.1016/j.drudis.2006.10.005" TargetMode="Externa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emf"/><Relationship Id="rId57" Type="http://schemas.openxmlformats.org/officeDocument/2006/relationships/image" Target="media/image25.emf"/><Relationship Id="rId61" Type="http://schemas.openxmlformats.org/officeDocument/2006/relationships/image" Target="media/image27.png"/><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hyperlink" Target="https://doi.org/10.1023/A:1020869118689"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oleObject" Target="embeddings/oleObject11.bin"/><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hyperlink" Target="https://doi.org/10.1016/S1093-3263(01)00123-1" TargetMode="External"/><Relationship Id="rId69" Type="http://schemas.openxmlformats.org/officeDocument/2006/relationships/hyperlink" Target="http://dx.doi.org/10.1021/jm020017n" TargetMode="External"/><Relationship Id="rId8" Type="http://schemas.openxmlformats.org/officeDocument/2006/relationships/footer" Target="footer1.xml"/><Relationship Id="rId51" Type="http://schemas.openxmlformats.org/officeDocument/2006/relationships/image" Target="media/image22.e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emf"/><Relationship Id="rId67" Type="http://schemas.openxmlformats.org/officeDocument/2006/relationships/hyperlink" Target="https://doi.org/10.1186/1471-2105-14-257" TargetMode="External"/><Relationship Id="rId20" Type="http://schemas.openxmlformats.org/officeDocument/2006/relationships/oleObject" Target="embeddings/oleObject6.bin"/><Relationship Id="rId41" Type="http://schemas.openxmlformats.org/officeDocument/2006/relationships/image" Target="media/image17.emf"/><Relationship Id="rId54" Type="http://schemas.openxmlformats.org/officeDocument/2006/relationships/oleObject" Target="embeddings/oleObject23.bin"/><Relationship Id="rId62" Type="http://schemas.openxmlformats.org/officeDocument/2006/relationships/image" Target="media/image28.tiff"/><Relationship Id="rId70" Type="http://schemas.openxmlformats.org/officeDocument/2006/relationships/hyperlink" Target="http://dx.doi.org/10.1021/jm049200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2019-06-27T08:10:00Z</dcterms:created>
  <dcterms:modified xsi:type="dcterms:W3CDTF">2019-07-05T06:17:00Z</dcterms:modified>
</cp:coreProperties>
</file>