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pPr>
        <w:pStyle w:val="Title1"/>
        <w:spacing w:before="0" w:line="360" w:lineRule="auto"/>
        <w:jc w:val="center"/>
        <w:rPr>
          <w:rFonts w:ascii="Times New Roman" w:hAnsi="Times New Roman"/>
          <w:sz w:val="24"/>
          <w:szCs w:val="24"/>
          <w:lang w:val="en-US"/>
        </w:rPr>
      </w:pPr>
      <w:r>
        <w:rPr>
          <w:rFonts w:ascii="Times New Roman" w:hAnsi="Times New Roman"/>
          <w:i/>
          <w:sz w:val="24"/>
          <w:szCs w:val="24"/>
          <w:lang w:val="en-US"/>
        </w:rPr>
        <w:t xml:space="preserve">In </w:t>
      </w:r>
      <w:proofErr w:type="spellStart"/>
      <w:r>
        <w:rPr>
          <w:rFonts w:ascii="Times New Roman" w:hAnsi="Times New Roman"/>
          <w:i/>
          <w:sz w:val="24"/>
          <w:szCs w:val="24"/>
          <w:lang w:val="en-US"/>
        </w:rPr>
        <w:t>silico</w:t>
      </w:r>
      <w:proofErr w:type="spellEnd"/>
      <w:r>
        <w:rPr>
          <w:rFonts w:ascii="Times New Roman" w:hAnsi="Times New Roman"/>
          <w:sz w:val="24"/>
          <w:szCs w:val="24"/>
          <w:lang w:val="en-US"/>
        </w:rPr>
        <w:t xml:space="preserve"> studies on </w:t>
      </w:r>
      <w:r>
        <w:rPr>
          <w:rFonts w:ascii="Times New Roman" w:hAnsi="Times New Roman"/>
          <w:noProof/>
          <w:sz w:val="24"/>
          <w:szCs w:val="24"/>
          <w:lang w:val="en-US"/>
        </w:rPr>
        <w:t>smoothened</w:t>
      </w:r>
      <w:r>
        <w:rPr>
          <w:rFonts w:ascii="Times New Roman" w:hAnsi="Times New Roman"/>
          <w:sz w:val="24"/>
          <w:szCs w:val="24"/>
          <w:lang w:val="en-US"/>
        </w:rPr>
        <w:t xml:space="preserve"> human receptor and its antagonists in search of anticancer effects</w:t>
      </w:r>
    </w:p>
    <w:p>
      <w:pPr>
        <w:spacing w:after="0" w:line="360" w:lineRule="auto"/>
        <w:rPr>
          <w:rFonts w:ascii="Times New Roman" w:hAnsi="Times New Roman" w:cs="Times New Roman"/>
          <w:sz w:val="24"/>
          <w:szCs w:val="24"/>
          <w:lang w:val="en-US" w:eastAsia="ja-JP"/>
        </w:rPr>
      </w:pPr>
    </w:p>
    <w:p>
      <w:pPr>
        <w:pStyle w:val="Authors"/>
        <w:spacing w:before="0" w:after="0" w:line="360" w:lineRule="auto"/>
        <w:jc w:val="center"/>
        <w:rPr>
          <w:rFonts w:ascii="Times New Roman" w:hAnsi="Times New Roman"/>
          <w:noProof/>
          <w:sz w:val="24"/>
          <w:lang w:eastAsia="en-GB"/>
        </w:rPr>
        <w:sectPr>
          <w:headerReference w:type="default" r:id="rId8"/>
          <w:footerReference w:type="default" r:id="rId9"/>
          <w:footnotePr>
            <w:numFmt w:val="chicago"/>
          </w:footnotePr>
          <w:type w:val="continuous"/>
          <w:pgSz w:w="11906" w:h="16838"/>
          <w:pgMar w:top="1440" w:right="1440" w:bottom="1440" w:left="1440" w:header="709" w:footer="709" w:gutter="0"/>
          <w:pgNumType w:start="1"/>
          <w:cols w:space="708"/>
          <w:docGrid w:linePitch="360"/>
        </w:sectPr>
      </w:pPr>
      <w:r>
        <w:rPr>
          <w:rFonts w:ascii="Times New Roman" w:hAnsi="Times New Roman"/>
          <w:noProof/>
          <w:sz w:val="24"/>
          <w:lang w:eastAsia="en-GB"/>
        </w:rPr>
        <w:t>ANA BOROTA</w:t>
      </w:r>
      <w:r>
        <w:rPr>
          <w:rStyle w:val="FootnoteReference"/>
          <w:rFonts w:ascii="Times New Roman" w:hAnsi="Times New Roman"/>
          <w:noProof/>
          <w:sz w:val="24"/>
          <w:lang w:eastAsia="en-GB"/>
        </w:rPr>
        <w:footnoteReference w:customMarkFollows="1" w:id="1"/>
        <w:t>*</w:t>
      </w:r>
      <w:r>
        <w:rPr>
          <w:rFonts w:ascii="Times New Roman" w:hAnsi="Times New Roman"/>
          <w:noProof/>
          <w:sz w:val="24"/>
          <w:lang w:eastAsia="en-GB"/>
        </w:rPr>
        <w:t>, SORIN AVRAM, RAMONA CURPAN, ALINA BORA, DANIELA VARGA, LILIANA HALIP, and LUMINITA CRISAN</w:t>
      </w:r>
      <w:r>
        <w:rPr>
          <w:rStyle w:val="FootnoteReference"/>
          <w:rFonts w:ascii="Times New Roman" w:hAnsi="Times New Roman"/>
          <w:noProof/>
          <w:sz w:val="24"/>
          <w:lang w:eastAsia="en-GB"/>
        </w:rPr>
        <w:footnoteReference w:id="2"/>
      </w:r>
    </w:p>
    <w:p>
      <w:pPr>
        <w:pStyle w:val="Authors"/>
        <w:spacing w:before="0" w:after="0" w:line="360" w:lineRule="auto"/>
        <w:jc w:val="center"/>
        <w:rPr>
          <w:rFonts w:ascii="Times New Roman" w:hAnsi="Times New Roman"/>
          <w:noProof/>
          <w:sz w:val="24"/>
          <w:lang w:eastAsia="en-GB"/>
        </w:rPr>
      </w:pPr>
    </w:p>
    <w:p>
      <w:pPr>
        <w:pStyle w:val="Adress"/>
        <w:spacing w:line="360" w:lineRule="auto"/>
        <w:ind w:left="0" w:firstLine="0"/>
        <w:jc w:val="center"/>
        <w:rPr>
          <w:rFonts w:ascii="Times New Roman" w:hAnsi="Times New Roman"/>
          <w:i/>
          <w:sz w:val="24"/>
          <w:szCs w:val="24"/>
          <w:lang w:val="en-GB"/>
        </w:rPr>
      </w:pPr>
      <w:r>
        <w:rPr>
          <w:rFonts w:ascii="Times New Roman" w:hAnsi="Times New Roman"/>
          <w:sz w:val="24"/>
          <w:szCs w:val="24"/>
          <w:lang w:val="en-GB"/>
        </w:rPr>
        <w:t xml:space="preserve"> </w:t>
      </w:r>
      <w:r>
        <w:rPr>
          <w:rFonts w:ascii="Times New Roman" w:hAnsi="Times New Roman"/>
          <w:i/>
          <w:sz w:val="24"/>
          <w:szCs w:val="24"/>
          <w:lang w:val="en-GB"/>
        </w:rPr>
        <w:t>“</w:t>
      </w:r>
      <w:proofErr w:type="spellStart"/>
      <w:r>
        <w:rPr>
          <w:rFonts w:ascii="Times New Roman" w:hAnsi="Times New Roman"/>
          <w:i/>
          <w:sz w:val="24"/>
          <w:szCs w:val="24"/>
          <w:lang w:val="en-GB"/>
        </w:rPr>
        <w:t>Coriolan</w:t>
      </w:r>
      <w:proofErr w:type="spellEnd"/>
      <w:r>
        <w:rPr>
          <w:rFonts w:ascii="Times New Roman" w:hAnsi="Times New Roman"/>
          <w:i/>
          <w:sz w:val="24"/>
          <w:szCs w:val="24"/>
          <w:lang w:val="en-GB"/>
        </w:rPr>
        <w:t xml:space="preserve"> </w:t>
      </w:r>
      <w:proofErr w:type="spellStart"/>
      <w:r>
        <w:rPr>
          <w:rFonts w:ascii="Times New Roman" w:hAnsi="Times New Roman"/>
          <w:i/>
          <w:sz w:val="24"/>
          <w:szCs w:val="24"/>
          <w:lang w:val="en-GB"/>
        </w:rPr>
        <w:t>Dragulescu</w:t>
      </w:r>
      <w:proofErr w:type="spellEnd"/>
      <w:r>
        <w:rPr>
          <w:rFonts w:ascii="Times New Roman" w:hAnsi="Times New Roman"/>
          <w:i/>
          <w:sz w:val="24"/>
          <w:szCs w:val="24"/>
          <w:lang w:val="en-GB"/>
        </w:rPr>
        <w:t xml:space="preserve">” Institute of Chemistry, Romanian Academy, 24 Mihai </w:t>
      </w:r>
      <w:proofErr w:type="spellStart"/>
      <w:r>
        <w:rPr>
          <w:rFonts w:ascii="Times New Roman" w:hAnsi="Times New Roman"/>
          <w:i/>
          <w:sz w:val="24"/>
          <w:szCs w:val="24"/>
          <w:lang w:val="en-GB"/>
        </w:rPr>
        <w:t>Viteazul</w:t>
      </w:r>
      <w:proofErr w:type="spellEnd"/>
      <w:r>
        <w:rPr>
          <w:rFonts w:ascii="Times New Roman" w:hAnsi="Times New Roman"/>
          <w:i/>
          <w:sz w:val="24"/>
          <w:szCs w:val="24"/>
          <w:lang w:val="en-GB"/>
        </w:rPr>
        <w:t xml:space="preserve"> Avenue, RO-300223, Timisoara, Romania</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pPr>
        <w:spacing w:after="0" w:line="360" w:lineRule="auto"/>
        <w:jc w:val="both"/>
        <w:rPr>
          <w:rFonts w:ascii="Times New Roman" w:hAnsi="Times New Roman" w:cs="Times New Roman"/>
          <w:sz w:val="24"/>
          <w:szCs w:val="24"/>
          <w:lang w:val="en-US"/>
        </w:rPr>
      </w:pPr>
      <w:r>
        <w:rPr>
          <w:rFonts w:ascii="Times New Roman" w:hAnsi="Times New Roman" w:cs="Times New Roman"/>
          <w:i/>
          <w:sz w:val="24"/>
          <w:szCs w:val="24"/>
          <w:lang w:val="en-US"/>
        </w:rPr>
        <w:t>Abstract</w:t>
      </w:r>
      <w:r>
        <w:rPr>
          <w:rFonts w:ascii="Times New Roman" w:hAnsi="Times New Roman" w:cs="Times New Roman"/>
          <w:sz w:val="24"/>
          <w:szCs w:val="24"/>
          <w:lang w:val="en-US"/>
        </w:rPr>
        <w:t xml:space="preserve">: Lately, the cancers related </w:t>
      </w:r>
      <w:r>
        <w:rPr>
          <w:rFonts w:ascii="Times New Roman" w:hAnsi="Times New Roman" w:cs="Times New Roman"/>
          <w:noProof/>
          <w:sz w:val="24"/>
          <w:szCs w:val="24"/>
          <w:lang w:val="en-US"/>
        </w:rPr>
        <w:t>with</w:t>
      </w:r>
      <w:r>
        <w:rPr>
          <w:rFonts w:ascii="Times New Roman" w:hAnsi="Times New Roman" w:cs="Times New Roman"/>
          <w:sz w:val="24"/>
          <w:szCs w:val="24"/>
          <w:lang w:val="en-US"/>
        </w:rPr>
        <w:t xml:space="preserve"> abnormal hedgehog (</w:t>
      </w:r>
      <w:proofErr w:type="spellStart"/>
      <w:r>
        <w:rPr>
          <w:rFonts w:ascii="Times New Roman" w:hAnsi="Times New Roman" w:cs="Times New Roman"/>
          <w:sz w:val="24"/>
          <w:szCs w:val="24"/>
          <w:lang w:val="en-US"/>
        </w:rPr>
        <w:t>Hh</w:t>
      </w:r>
      <w:proofErr w:type="spellEnd"/>
      <w:r>
        <w:rPr>
          <w:rFonts w:ascii="Times New Roman" w:hAnsi="Times New Roman" w:cs="Times New Roman"/>
          <w:sz w:val="24"/>
          <w:szCs w:val="24"/>
          <w:lang w:val="en-US"/>
        </w:rPr>
        <w:t xml:space="preserve">) pathway </w:t>
      </w:r>
      <w:r>
        <w:rPr>
          <w:rFonts w:ascii="Times New Roman" w:hAnsi="Times New Roman" w:cs="Times New Roman"/>
          <w:noProof/>
          <w:sz w:val="24"/>
          <w:szCs w:val="24"/>
          <w:lang w:val="en-US"/>
        </w:rPr>
        <w:t>signalling</w:t>
      </w:r>
      <w:r>
        <w:rPr>
          <w:rFonts w:ascii="Times New Roman" w:hAnsi="Times New Roman" w:cs="Times New Roman"/>
          <w:sz w:val="24"/>
          <w:szCs w:val="24"/>
          <w:lang w:val="en-US"/>
        </w:rPr>
        <w:t xml:space="preserve"> are targeted by the great development of Smoothened (SMO) receptor inhibitors. Still, the problems of known inhibitors, such </w:t>
      </w:r>
      <w:r>
        <w:rPr>
          <w:rFonts w:ascii="Times New Roman" w:hAnsi="Times New Roman" w:cs="Times New Roman"/>
          <w:noProof/>
          <w:sz w:val="24"/>
          <w:szCs w:val="24"/>
          <w:lang w:val="en-US"/>
        </w:rPr>
        <w:t>as,</w:t>
      </w:r>
      <w:r>
        <w:rPr>
          <w:rFonts w:ascii="Times New Roman" w:hAnsi="Times New Roman" w:cs="Times New Roman"/>
          <w:sz w:val="24"/>
          <w:szCs w:val="24"/>
          <w:lang w:val="en-US"/>
        </w:rPr>
        <w:t xml:space="preserve"> severe side effects, weak potency against solid tumors or even the acquired resistance </w:t>
      </w:r>
      <w:r>
        <w:rPr>
          <w:rFonts w:ascii="Times New Roman" w:hAnsi="Times New Roman" w:cs="Times New Roman"/>
          <w:noProof/>
          <w:sz w:val="24"/>
          <w:szCs w:val="24"/>
          <w:lang w:val="en-US"/>
        </w:rPr>
        <w:t>need</w:t>
      </w:r>
      <w:r>
        <w:rPr>
          <w:rFonts w:ascii="Times New Roman" w:hAnsi="Times New Roman" w:cs="Times New Roman"/>
          <w:sz w:val="24"/>
          <w:szCs w:val="24"/>
          <w:lang w:val="en-US"/>
        </w:rPr>
        <w:t xml:space="preserve"> to </w:t>
      </w:r>
      <w:r>
        <w:rPr>
          <w:rFonts w:ascii="Times New Roman" w:hAnsi="Times New Roman" w:cs="Times New Roman"/>
          <w:noProof/>
          <w:sz w:val="24"/>
          <w:szCs w:val="24"/>
          <w:lang w:val="en-US"/>
        </w:rPr>
        <w:t>be overcame</w:t>
      </w:r>
      <w:r>
        <w:rPr>
          <w:rFonts w:ascii="Times New Roman" w:hAnsi="Times New Roman" w:cs="Times New Roman"/>
          <w:sz w:val="24"/>
          <w:szCs w:val="24"/>
          <w:lang w:val="en-US"/>
        </w:rPr>
        <w:t xml:space="preserve"> by developing new suitable inhibitors. To explore the structural requirements of antagonists needed for SMO receptor inhibition, pharmacophore mapping, 3D-QSAR models, database screening and docking studies were performed. The </w:t>
      </w:r>
      <w:r>
        <w:rPr>
          <w:rFonts w:ascii="Times New Roman" w:hAnsi="Times New Roman" w:cs="Times New Roman"/>
          <w:noProof/>
          <w:sz w:val="24"/>
          <w:szCs w:val="24"/>
          <w:lang w:val="en-US"/>
        </w:rPr>
        <w:t>best selected</w:t>
      </w:r>
      <w:r>
        <w:rPr>
          <w:rFonts w:ascii="Times New Roman" w:hAnsi="Times New Roman" w:cs="Times New Roman"/>
          <w:sz w:val="24"/>
          <w:szCs w:val="24"/>
          <w:lang w:val="en-US"/>
        </w:rPr>
        <w:t xml:space="preserve"> pharmacophore hypothesis based on which statistically significant atom-based 3D-QSAR model was developed (R</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=0.856, Q</w:t>
      </w:r>
      <w:r>
        <w:rPr>
          <w:rFonts w:ascii="Times New Roman" w:hAnsi="Times New Roman" w:cs="Times New Roman"/>
          <w:sz w:val="24"/>
          <w:szCs w:val="24"/>
          <w:vertAlign w:val="superscript"/>
          <w:lang w:val="en-US"/>
        </w:rPr>
        <w:t>2</w:t>
      </w:r>
      <w:r>
        <w:rPr>
          <w:rFonts w:ascii="Times New Roman" w:hAnsi="Times New Roman" w:cs="Times New Roman"/>
          <w:sz w:val="24"/>
          <w:szCs w:val="24"/>
          <w:lang w:val="en-US"/>
        </w:rPr>
        <w:t xml:space="preserve">=0.611 </w:t>
      </w:r>
      <w:r>
        <w:rPr>
          <w:rFonts w:ascii="Times New Roman" w:hAnsi="Times New Roman" w:cs="Times New Roman"/>
          <w:noProof/>
          <w:sz w:val="24"/>
          <w:szCs w:val="24"/>
          <w:lang w:val="en-US"/>
        </w:rPr>
        <w:t>and</w:t>
      </w:r>
      <w:r>
        <w:rPr>
          <w:rFonts w:ascii="Times New Roman" w:hAnsi="Times New Roman" w:cs="Times New Roman"/>
          <w:sz w:val="24"/>
          <w:szCs w:val="24"/>
          <w:lang w:val="en-US"/>
        </w:rPr>
        <w:t xml:space="preserve"> Pearson-R=0.817), was further subjected to dataset screening in order to evaluate its ability to prioritize active compounds over decoys. The efficiency of one four-points pharmacophore hypothesis (AAHR.524) was observed based on good evaluation metrics, such </w:t>
      </w:r>
      <w:r>
        <w:rPr>
          <w:rFonts w:ascii="Times New Roman" w:hAnsi="Times New Roman" w:cs="Times New Roman"/>
          <w:noProof/>
          <w:sz w:val="24"/>
          <w:szCs w:val="24"/>
          <w:lang w:val="en-US"/>
        </w:rPr>
        <w:t>as,</w:t>
      </w:r>
      <w:r>
        <w:rPr>
          <w:rFonts w:ascii="Times New Roman" w:hAnsi="Times New Roman" w:cs="Times New Roman"/>
          <w:sz w:val="24"/>
          <w:szCs w:val="24"/>
          <w:lang w:val="en-US"/>
        </w:rPr>
        <w:t xml:space="preserve"> the </w:t>
      </w:r>
      <w:r>
        <w:rPr>
          <w:rFonts w:ascii="Times New Roman" w:hAnsi="Times New Roman" w:cs="Times New Roman"/>
          <w:noProof/>
          <w:sz w:val="24"/>
          <w:szCs w:val="24"/>
          <w:lang w:val="en-US"/>
        </w:rPr>
        <w:t>area</w:t>
      </w:r>
      <w:r>
        <w:rPr>
          <w:rFonts w:ascii="Times New Roman" w:hAnsi="Times New Roman" w:cs="Times New Roman"/>
          <w:sz w:val="24"/>
          <w:szCs w:val="24"/>
          <w:lang w:val="en-US"/>
        </w:rPr>
        <w:t xml:space="preserve"> under the </w:t>
      </w:r>
      <w:r>
        <w:rPr>
          <w:rFonts w:ascii="Times New Roman" w:hAnsi="Times New Roman" w:cs="Times New Roman"/>
          <w:noProof/>
          <w:sz w:val="24"/>
          <w:szCs w:val="24"/>
          <w:lang w:val="en-US"/>
        </w:rPr>
        <w:t>curve</w:t>
      </w:r>
      <w:r>
        <w:rPr>
          <w:rFonts w:ascii="Times New Roman" w:hAnsi="Times New Roman" w:cs="Times New Roman"/>
          <w:sz w:val="24"/>
          <w:szCs w:val="24"/>
          <w:lang w:val="en-US"/>
        </w:rPr>
        <w:t xml:space="preserve"> (0.795), and </w:t>
      </w:r>
      <w:r>
        <w:rPr>
          <w:rFonts w:ascii="Times New Roman" w:hAnsi="Times New Roman" w:cs="Times New Roman"/>
          <w:color w:val="000000"/>
          <w:sz w:val="24"/>
          <w:szCs w:val="24"/>
          <w:lang w:eastAsia="en-GB"/>
        </w:rPr>
        <w:t xml:space="preserve">weighted average precision (0.835), </w:t>
      </w:r>
      <w:r>
        <w:rPr>
          <w:rFonts w:ascii="Times New Roman" w:hAnsi="Times New Roman" w:cs="Times New Roman"/>
          <w:sz w:val="24"/>
          <w:szCs w:val="24"/>
          <w:lang w:val="en-US"/>
        </w:rPr>
        <w:t>suggesting that the model is trustworthy in predicting novel inhibitors against SMO receptor.</w:t>
      </w:r>
    </w:p>
    <w:p>
      <w:pPr>
        <w:spacing w:after="0" w:line="360" w:lineRule="auto"/>
        <w:jc w:val="both"/>
        <w:rPr>
          <w:rFonts w:ascii="Times New Roman" w:hAnsi="Times New Roman" w:cs="Times New Roman"/>
          <w:sz w:val="24"/>
          <w:szCs w:val="24"/>
          <w:lang w:val="en-US"/>
        </w:rPr>
      </w:pP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i/>
          <w:sz w:val="24"/>
          <w:szCs w:val="24"/>
          <w:lang w:eastAsia="ja-JP"/>
        </w:rPr>
        <w:t>Keywords:</w:t>
      </w:r>
      <w:r>
        <w:rPr>
          <w:rFonts w:ascii="Times New Roman" w:eastAsia="MS Mincho" w:hAnsi="Times New Roman" w:cs="Times New Roman"/>
          <w:sz w:val="24"/>
          <w:szCs w:val="24"/>
          <w:lang w:eastAsia="ja-JP"/>
        </w:rPr>
        <w:t xml:space="preserve"> pharmacophore, 3D-</w:t>
      </w:r>
      <w:r>
        <w:rPr>
          <w:rFonts w:ascii="Times New Roman" w:eastAsia="MS Mincho" w:hAnsi="Times New Roman" w:cs="Times New Roman"/>
          <w:sz w:val="24"/>
          <w:szCs w:val="24"/>
          <w:lang w:eastAsia="ja-JP" w:bidi="hi-IN"/>
        </w:rPr>
        <w:t>QSAR</w:t>
      </w:r>
      <w:r>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bidi="hi-IN"/>
        </w:rPr>
        <w:t>docking,</w:t>
      </w:r>
      <w:r>
        <w:rPr>
          <w:rFonts w:ascii="Times New Roman" w:eastAsia="MS Mincho" w:hAnsi="Times New Roman" w:cs="Times New Roman"/>
          <w:sz w:val="24"/>
          <w:szCs w:val="24"/>
          <w:lang w:eastAsia="ja-JP"/>
        </w:rPr>
        <w:t xml:space="preserve"> </w:t>
      </w:r>
      <w:r>
        <w:rPr>
          <w:rFonts w:ascii="Times New Roman" w:eastAsia="MS Mincho" w:hAnsi="Times New Roman" w:cs="Times New Roman"/>
          <w:sz w:val="24"/>
          <w:szCs w:val="24"/>
          <w:lang w:eastAsia="ja-JP" w:bidi="hi-IN"/>
        </w:rPr>
        <w:t>SMO inhibitors</w:t>
      </w:r>
      <w:r>
        <w:rPr>
          <w:rFonts w:ascii="Times New Roman" w:eastAsia="MS Mincho" w:hAnsi="Times New Roman" w:cs="Times New Roman"/>
          <w:sz w:val="24"/>
          <w:szCs w:val="24"/>
          <w:lang w:eastAsia="ja-JP"/>
        </w:rPr>
        <w:t xml:space="preserve"> </w:t>
      </w:r>
    </w:p>
    <w:p>
      <w:pPr>
        <w:spacing w:after="0" w:line="360" w:lineRule="auto"/>
        <w:jc w:val="both"/>
        <w:rPr>
          <w:rFonts w:ascii="Times New Roman" w:hAnsi="Times New Roman"/>
          <w:sz w:val="24"/>
          <w:szCs w:val="24"/>
        </w:rPr>
      </w:pPr>
      <w:r>
        <w:rPr>
          <w:rFonts w:ascii="Times New Roman" w:hAnsi="Times New Roman"/>
          <w:sz w:val="24"/>
          <w:szCs w:val="24"/>
        </w:rPr>
        <w:t>RUNNING TITLE:</w:t>
      </w:r>
      <w:r>
        <w:t xml:space="preserve"> </w:t>
      </w:r>
      <w:r>
        <w:rPr>
          <w:rFonts w:ascii="Times New Roman" w:hAnsi="Times New Roman"/>
          <w:sz w:val="24"/>
          <w:szCs w:val="24"/>
        </w:rPr>
        <w:t>COMPUTATIONAL STUDIES ON SMO INHIBITORS</w:t>
      </w:r>
    </w:p>
    <w:p>
      <w:pPr>
        <w:spacing w:after="0" w:line="360" w:lineRule="auto"/>
        <w:jc w:val="both"/>
        <w:rPr>
          <w:rFonts w:ascii="Times New Roman" w:hAnsi="Times New Roman" w:cs="Times New Roman"/>
          <w:sz w:val="24"/>
          <w:szCs w:val="24"/>
          <w:lang w:val="en-US"/>
        </w:rPr>
      </w:pPr>
    </w:p>
    <w:p>
      <w:pPr>
        <w:pStyle w:val="Abstract"/>
        <w:spacing w:after="0" w:line="360" w:lineRule="auto"/>
        <w:jc w:val="center"/>
        <w:rPr>
          <w:rFonts w:ascii="Times New Roman" w:hAnsi="Times New Roman"/>
          <w:sz w:val="24"/>
          <w:szCs w:val="24"/>
        </w:rPr>
      </w:pPr>
      <w:r>
        <w:rPr>
          <w:rFonts w:ascii="Times New Roman" w:hAnsi="Times New Roman"/>
          <w:sz w:val="24"/>
          <w:szCs w:val="24"/>
        </w:rPr>
        <w:t>INTRODUCTION</w:t>
      </w:r>
    </w:p>
    <w:p>
      <w:pPr>
        <w:pStyle w:val="P1"/>
        <w:spacing w:line="360" w:lineRule="auto"/>
        <w:rPr>
          <w:rFonts w:ascii="Times New Roman" w:hAnsi="Times New Roman"/>
          <w:sz w:val="24"/>
        </w:rPr>
      </w:pPr>
      <w:r>
        <w:rPr>
          <w:rFonts w:ascii="Times New Roman" w:hAnsi="Times New Roman"/>
          <w:sz w:val="24"/>
        </w:rPr>
        <w:t>The smoothened (SMO) receptor is a G-protein-coupled receptor (GPCR) -like protein and it is one of the relevant components of the hedgehog (</w:t>
      </w:r>
      <w:proofErr w:type="spellStart"/>
      <w:r>
        <w:rPr>
          <w:rFonts w:ascii="Times New Roman" w:hAnsi="Times New Roman"/>
          <w:sz w:val="24"/>
        </w:rPr>
        <w:t>Hh</w:t>
      </w:r>
      <w:proofErr w:type="spellEnd"/>
      <w:r>
        <w:rPr>
          <w:rFonts w:ascii="Times New Roman" w:hAnsi="Times New Roman"/>
          <w:sz w:val="24"/>
        </w:rPr>
        <w:t xml:space="preserve">) </w:t>
      </w:r>
      <w:r>
        <w:rPr>
          <w:rFonts w:ascii="Times New Roman" w:hAnsi="Times New Roman"/>
          <w:noProof/>
          <w:sz w:val="24"/>
        </w:rPr>
        <w:t>signalling</w:t>
      </w:r>
      <w:r>
        <w:rPr>
          <w:rFonts w:ascii="Times New Roman" w:hAnsi="Times New Roman"/>
          <w:sz w:val="24"/>
        </w:rPr>
        <w:t xml:space="preserve"> pathway</w:t>
      </w:r>
      <w:r>
        <w:rPr>
          <w:rFonts w:ascii="Times New Roman" w:hAnsi="Times New Roman"/>
          <w:sz w:val="24"/>
          <w:vertAlign w:val="superscript"/>
        </w:rPr>
        <w:t>1</w:t>
      </w:r>
      <w:r>
        <w:rPr>
          <w:rFonts w:ascii="Times New Roman" w:hAnsi="Times New Roman"/>
          <w:sz w:val="24"/>
        </w:rPr>
        <w:t xml:space="preserve">. GPCR are seven transmembrane receptors which </w:t>
      </w:r>
      <w:r>
        <w:rPr>
          <w:rFonts w:ascii="Times New Roman" w:hAnsi="Times New Roman"/>
          <w:noProof/>
          <w:sz w:val="24"/>
        </w:rPr>
        <w:t>constitute</w:t>
      </w:r>
      <w:r>
        <w:rPr>
          <w:rFonts w:ascii="Times New Roman" w:hAnsi="Times New Roman"/>
          <w:sz w:val="24"/>
        </w:rPr>
        <w:t xml:space="preserve"> the largest family of human proteins</w:t>
      </w:r>
      <w:r>
        <w:rPr>
          <w:rFonts w:ascii="Times New Roman" w:hAnsi="Times New Roman"/>
          <w:sz w:val="24"/>
          <w:vertAlign w:val="superscript"/>
        </w:rPr>
        <w:t>2</w:t>
      </w:r>
      <w:r>
        <w:rPr>
          <w:rFonts w:ascii="Times New Roman" w:hAnsi="Times New Roman"/>
          <w:sz w:val="24"/>
        </w:rPr>
        <w:t xml:space="preserve"> that regulate a various multitude of intracellular </w:t>
      </w:r>
      <w:r>
        <w:rPr>
          <w:rFonts w:ascii="Times New Roman" w:hAnsi="Times New Roman"/>
          <w:noProof/>
          <w:sz w:val="24"/>
        </w:rPr>
        <w:t>signalling</w:t>
      </w:r>
      <w:r>
        <w:rPr>
          <w:rFonts w:ascii="Times New Roman" w:hAnsi="Times New Roman"/>
          <w:sz w:val="24"/>
        </w:rPr>
        <w:t xml:space="preserve"> cascades</w:t>
      </w:r>
      <w:r>
        <w:rPr>
          <w:rFonts w:ascii="Times New Roman" w:hAnsi="Times New Roman"/>
          <w:sz w:val="24"/>
          <w:vertAlign w:val="superscript"/>
        </w:rPr>
        <w:t>3</w:t>
      </w:r>
      <w:r>
        <w:rPr>
          <w:rFonts w:ascii="Times New Roman" w:hAnsi="Times New Roman"/>
          <w:sz w:val="24"/>
        </w:rPr>
        <w:t xml:space="preserve">. Late breakthroughs in GPCRs </w:t>
      </w:r>
      <w:r>
        <w:rPr>
          <w:rFonts w:ascii="Times New Roman" w:hAnsi="Times New Roman"/>
          <w:sz w:val="24"/>
        </w:rPr>
        <w:lastRenderedPageBreak/>
        <w:t>biochemistry</w:t>
      </w:r>
      <w:r>
        <w:rPr>
          <w:rFonts w:ascii="Times New Roman" w:hAnsi="Times New Roman"/>
          <w:sz w:val="24"/>
          <w:vertAlign w:val="superscript"/>
        </w:rPr>
        <w:t>4,5</w:t>
      </w:r>
      <w:r>
        <w:rPr>
          <w:rFonts w:ascii="Times New Roman" w:hAnsi="Times New Roman"/>
          <w:sz w:val="24"/>
        </w:rPr>
        <w:t xml:space="preserve"> have enhanced our knowledge of drug action on these significant targets, which will lead in the future to the design of better therapeutics.</w:t>
      </w:r>
    </w:p>
    <w:p>
      <w:pPr>
        <w:pStyle w:val="P1"/>
        <w:spacing w:line="360" w:lineRule="auto"/>
        <w:ind w:firstLine="425"/>
        <w:rPr>
          <w:rFonts w:ascii="Times New Roman" w:hAnsi="Times New Roman"/>
          <w:b/>
          <w:bCs/>
          <w:sz w:val="24"/>
        </w:rPr>
      </w:pPr>
      <w:r>
        <w:rPr>
          <w:rFonts w:ascii="Times New Roman" w:hAnsi="Times New Roman"/>
          <w:sz w:val="24"/>
        </w:rPr>
        <w:t xml:space="preserve">It is known that ~25% of cancers present </w:t>
      </w:r>
      <w:r>
        <w:rPr>
          <w:rFonts w:ascii="Times New Roman" w:hAnsi="Times New Roman"/>
          <w:sz w:val="24"/>
          <w:lang w:val="en-GB"/>
        </w:rPr>
        <w:t xml:space="preserve">aberrant </w:t>
      </w:r>
      <w:proofErr w:type="spellStart"/>
      <w:r>
        <w:rPr>
          <w:rFonts w:ascii="Times New Roman" w:hAnsi="Times New Roman"/>
          <w:sz w:val="24"/>
          <w:lang w:val="en-GB"/>
        </w:rPr>
        <w:t>Hh</w:t>
      </w:r>
      <w:proofErr w:type="spellEnd"/>
      <w:r>
        <w:rPr>
          <w:rFonts w:ascii="Times New Roman" w:hAnsi="Times New Roman"/>
          <w:sz w:val="24"/>
          <w:lang w:val="en-GB"/>
        </w:rPr>
        <w:t xml:space="preserve"> pathway activation</w:t>
      </w:r>
      <w:r>
        <w:rPr>
          <w:rFonts w:ascii="Times New Roman" w:hAnsi="Times New Roman"/>
          <w:sz w:val="24"/>
          <w:vertAlign w:val="superscript"/>
          <w:lang w:val="en-GB"/>
        </w:rPr>
        <w:t>6</w:t>
      </w:r>
      <w:r>
        <w:rPr>
          <w:rFonts w:ascii="Times New Roman" w:hAnsi="Times New Roman"/>
          <w:sz w:val="24"/>
        </w:rPr>
        <w:t xml:space="preserve">. </w:t>
      </w:r>
      <w:r>
        <w:rPr>
          <w:rFonts w:ascii="Times New Roman" w:hAnsi="Times New Roman"/>
          <w:sz w:val="24"/>
          <w:vertAlign w:val="superscript"/>
        </w:rPr>
        <w:t xml:space="preserve"> </w:t>
      </w:r>
      <w:r>
        <w:rPr>
          <w:rFonts w:ascii="Times New Roman" w:hAnsi="Times New Roman"/>
          <w:sz w:val="24"/>
        </w:rPr>
        <w:t xml:space="preserve">Regarding the implication of </w:t>
      </w:r>
      <w:r>
        <w:rPr>
          <w:rFonts w:ascii="Times New Roman" w:hAnsi="Times New Roman"/>
          <w:noProof/>
          <w:sz w:val="24"/>
        </w:rPr>
        <w:t>Hh</w:t>
      </w:r>
      <w:r>
        <w:rPr>
          <w:rFonts w:ascii="Times New Roman" w:hAnsi="Times New Roman"/>
          <w:sz w:val="24"/>
        </w:rPr>
        <w:t xml:space="preserve"> pathway in cancer</w:t>
      </w:r>
      <w:r>
        <w:rPr>
          <w:rFonts w:ascii="Times New Roman" w:hAnsi="Times New Roman"/>
          <w:sz w:val="24"/>
          <w:lang w:val="en-GB"/>
        </w:rPr>
        <w:t>,</w:t>
      </w:r>
      <w:r>
        <w:rPr>
          <w:rFonts w:ascii="Times New Roman" w:hAnsi="Times New Roman"/>
          <w:sz w:val="24"/>
        </w:rPr>
        <w:t xml:space="preserve"> three models of action have been proposed</w:t>
      </w:r>
      <w:r>
        <w:rPr>
          <w:rFonts w:ascii="Times New Roman" w:hAnsi="Times New Roman"/>
          <w:sz w:val="24"/>
          <w:vertAlign w:val="superscript"/>
        </w:rPr>
        <w:t>7</w:t>
      </w:r>
      <w:r>
        <w:rPr>
          <w:rFonts w:ascii="Times New Roman" w:hAnsi="Times New Roman"/>
          <w:sz w:val="24"/>
        </w:rPr>
        <w:t xml:space="preserve">. The first type is </w:t>
      </w:r>
      <w:r>
        <w:rPr>
          <w:rFonts w:ascii="Times New Roman" w:hAnsi="Times New Roman"/>
          <w:noProof/>
          <w:sz w:val="24"/>
        </w:rPr>
        <w:t>ligand independent</w:t>
      </w:r>
      <w:r>
        <w:rPr>
          <w:rFonts w:ascii="Times New Roman" w:hAnsi="Times New Roman"/>
          <w:sz w:val="24"/>
        </w:rPr>
        <w:t xml:space="preserve"> and refers to mutations in </w:t>
      </w:r>
      <w:proofErr w:type="spellStart"/>
      <w:r>
        <w:rPr>
          <w:rFonts w:ascii="Times New Roman" w:hAnsi="Times New Roman"/>
          <w:sz w:val="24"/>
        </w:rPr>
        <w:t>Hh</w:t>
      </w:r>
      <w:proofErr w:type="spellEnd"/>
      <w:r>
        <w:rPr>
          <w:rFonts w:ascii="Times New Roman" w:hAnsi="Times New Roman"/>
          <w:sz w:val="24"/>
        </w:rPr>
        <w:t xml:space="preserve"> pathway components, that have been associated with </w:t>
      </w:r>
      <w:proofErr w:type="spellStart"/>
      <w:r>
        <w:rPr>
          <w:rFonts w:ascii="Times New Roman" w:hAnsi="Times New Roman"/>
          <w:sz w:val="24"/>
        </w:rPr>
        <w:t>medulloblastoma</w:t>
      </w:r>
      <w:proofErr w:type="spellEnd"/>
      <w:r>
        <w:rPr>
          <w:rFonts w:ascii="Times New Roman" w:hAnsi="Times New Roman"/>
          <w:sz w:val="24"/>
        </w:rPr>
        <w:t xml:space="preserve"> and basal cell carcinomas</w:t>
      </w:r>
      <w:r>
        <w:rPr>
          <w:rFonts w:ascii="Times New Roman" w:hAnsi="Times New Roman"/>
          <w:sz w:val="24"/>
          <w:vertAlign w:val="superscript"/>
        </w:rPr>
        <w:t>8,9</w:t>
      </w:r>
      <w:r>
        <w:rPr>
          <w:rFonts w:ascii="Times New Roman" w:hAnsi="Times New Roman"/>
          <w:sz w:val="24"/>
        </w:rPr>
        <w:t xml:space="preserve">. The II (autocrine) and III (paracrine) types of mechanisms are </w:t>
      </w:r>
      <w:r>
        <w:rPr>
          <w:rFonts w:ascii="Times New Roman" w:hAnsi="Times New Roman"/>
          <w:noProof/>
          <w:sz w:val="24"/>
        </w:rPr>
        <w:t>ligand dependent</w:t>
      </w:r>
      <w:r>
        <w:rPr>
          <w:rFonts w:ascii="Times New Roman" w:hAnsi="Times New Roman"/>
          <w:sz w:val="24"/>
        </w:rPr>
        <w:t xml:space="preserve"> and include: lung</w:t>
      </w:r>
      <w:r>
        <w:rPr>
          <w:rFonts w:ascii="Times New Roman" w:hAnsi="Times New Roman"/>
          <w:sz w:val="24"/>
          <w:vertAlign w:val="superscript"/>
        </w:rPr>
        <w:t>10</w:t>
      </w:r>
      <w:r>
        <w:rPr>
          <w:rFonts w:ascii="Times New Roman" w:hAnsi="Times New Roman"/>
          <w:sz w:val="24"/>
        </w:rPr>
        <w:t>, pancreatic</w:t>
      </w:r>
      <w:r>
        <w:rPr>
          <w:rFonts w:ascii="Times New Roman" w:hAnsi="Times New Roman"/>
          <w:sz w:val="24"/>
          <w:vertAlign w:val="superscript"/>
        </w:rPr>
        <w:t>11</w:t>
      </w:r>
      <w:r>
        <w:rPr>
          <w:rFonts w:ascii="Times New Roman" w:hAnsi="Times New Roman"/>
          <w:sz w:val="24"/>
        </w:rPr>
        <w:t>, colorectal</w:t>
      </w:r>
      <w:r>
        <w:rPr>
          <w:rFonts w:ascii="Times New Roman" w:hAnsi="Times New Roman"/>
          <w:sz w:val="24"/>
          <w:vertAlign w:val="superscript"/>
        </w:rPr>
        <w:t>12</w:t>
      </w:r>
      <w:r>
        <w:rPr>
          <w:rFonts w:ascii="Times New Roman" w:hAnsi="Times New Roman"/>
          <w:sz w:val="24"/>
        </w:rPr>
        <w:t>, breast</w:t>
      </w:r>
      <w:r>
        <w:rPr>
          <w:rFonts w:ascii="Times New Roman" w:hAnsi="Times New Roman"/>
          <w:sz w:val="24"/>
          <w:vertAlign w:val="superscript"/>
        </w:rPr>
        <w:t>13</w:t>
      </w:r>
      <w:r>
        <w:rPr>
          <w:rFonts w:ascii="Times New Roman" w:hAnsi="Times New Roman"/>
          <w:sz w:val="24"/>
        </w:rPr>
        <w:t>, gastrointestinal tract</w:t>
      </w:r>
      <w:r>
        <w:rPr>
          <w:rFonts w:ascii="Times New Roman" w:hAnsi="Times New Roman"/>
          <w:sz w:val="24"/>
          <w:vertAlign w:val="superscript"/>
        </w:rPr>
        <w:t>14</w:t>
      </w:r>
      <w:r>
        <w:rPr>
          <w:rFonts w:ascii="Times New Roman" w:hAnsi="Times New Roman"/>
          <w:sz w:val="24"/>
        </w:rPr>
        <w:t>, prostate</w:t>
      </w:r>
      <w:r>
        <w:rPr>
          <w:rFonts w:ascii="Times New Roman" w:hAnsi="Times New Roman"/>
          <w:sz w:val="24"/>
          <w:vertAlign w:val="superscript"/>
        </w:rPr>
        <w:t>15</w:t>
      </w:r>
      <w:r>
        <w:rPr>
          <w:rFonts w:ascii="Times New Roman" w:hAnsi="Times New Roman"/>
          <w:sz w:val="24"/>
        </w:rPr>
        <w:t>, glioma tumours</w:t>
      </w:r>
      <w:r>
        <w:rPr>
          <w:rFonts w:ascii="Times New Roman" w:hAnsi="Times New Roman"/>
          <w:sz w:val="24"/>
          <w:vertAlign w:val="superscript"/>
        </w:rPr>
        <w:t>9</w:t>
      </w:r>
      <w:r>
        <w:rPr>
          <w:rFonts w:ascii="Times New Roman" w:hAnsi="Times New Roman"/>
          <w:sz w:val="24"/>
        </w:rPr>
        <w:t xml:space="preserve"> and hematological malignancies</w:t>
      </w:r>
      <w:r>
        <w:rPr>
          <w:rFonts w:ascii="Times New Roman" w:hAnsi="Times New Roman"/>
          <w:sz w:val="24"/>
          <w:vertAlign w:val="superscript"/>
        </w:rPr>
        <w:t>16</w:t>
      </w:r>
      <w:r>
        <w:rPr>
          <w:rFonts w:ascii="Times New Roman" w:hAnsi="Times New Roman"/>
          <w:sz w:val="24"/>
        </w:rPr>
        <w:t xml:space="preserve">. The growth of these types of </w:t>
      </w:r>
      <w:r>
        <w:rPr>
          <w:rFonts w:ascii="Times New Roman" w:hAnsi="Times New Roman"/>
          <w:noProof/>
          <w:sz w:val="24"/>
        </w:rPr>
        <w:t>tumours</w:t>
      </w:r>
      <w:r>
        <w:rPr>
          <w:rFonts w:ascii="Times New Roman" w:hAnsi="Times New Roman"/>
          <w:sz w:val="24"/>
        </w:rPr>
        <w:t xml:space="preserve"> can be suppressed by different pathway inhibitors, such as SMO receptor antagonists</w:t>
      </w:r>
      <w:r>
        <w:rPr>
          <w:rFonts w:ascii="Times New Roman" w:hAnsi="Times New Roman"/>
          <w:sz w:val="24"/>
          <w:vertAlign w:val="superscript"/>
        </w:rPr>
        <w:t>17</w:t>
      </w:r>
      <w:r>
        <w:rPr>
          <w:rFonts w:ascii="Times New Roman" w:hAnsi="Times New Roman"/>
          <w:sz w:val="24"/>
        </w:rPr>
        <w:t xml:space="preserve">. Indeed, a number of SMO antagonists (such </w:t>
      </w:r>
      <w:r>
        <w:rPr>
          <w:rFonts w:ascii="Times New Roman" w:hAnsi="Times New Roman"/>
          <w:noProof/>
          <w:sz w:val="24"/>
        </w:rPr>
        <w:t>as:</w:t>
      </w:r>
      <w:r>
        <w:rPr>
          <w:rFonts w:ascii="Times New Roman" w:hAnsi="Times New Roman"/>
          <w:sz w:val="24"/>
        </w:rPr>
        <w:t xml:space="preserve"> CUR61414, IPI-926, BMS-833923, PF-04449913, LEQ-506, TAK-441) have demonstrated anticancer activity and have entered the clinical trials. Hitherto, FDA approved two SMO antagonists (LDE225/</w:t>
      </w:r>
      <w:proofErr w:type="spellStart"/>
      <w:r>
        <w:rPr>
          <w:rFonts w:ascii="Times New Roman" w:hAnsi="Times New Roman"/>
          <w:sz w:val="24"/>
        </w:rPr>
        <w:t>Sonidegib</w:t>
      </w:r>
      <w:proofErr w:type="spellEnd"/>
      <w:r>
        <w:rPr>
          <w:rFonts w:ascii="Times New Roman" w:hAnsi="Times New Roman"/>
          <w:sz w:val="24"/>
        </w:rPr>
        <w:t xml:space="preserve"> and GDC-0449/</w:t>
      </w:r>
      <w:proofErr w:type="spellStart"/>
      <w:r>
        <w:rPr>
          <w:rFonts w:ascii="Times New Roman" w:hAnsi="Times New Roman"/>
          <w:sz w:val="24"/>
        </w:rPr>
        <w:t>Vismodegib</w:t>
      </w:r>
      <w:proofErr w:type="spellEnd"/>
      <w:r>
        <w:rPr>
          <w:rFonts w:ascii="Times New Roman" w:hAnsi="Times New Roman"/>
          <w:sz w:val="24"/>
        </w:rPr>
        <w:t>) for the treatment of basal cell carcinoma</w:t>
      </w:r>
      <w:r>
        <w:rPr>
          <w:rFonts w:ascii="Times New Roman" w:hAnsi="Times New Roman"/>
          <w:sz w:val="24"/>
          <w:vertAlign w:val="superscript"/>
        </w:rPr>
        <w:t>18</w:t>
      </w:r>
      <w:r>
        <w:rPr>
          <w:rFonts w:ascii="Times New Roman" w:hAnsi="Times New Roman"/>
          <w:sz w:val="24"/>
        </w:rPr>
        <w:t xml:space="preserve">. Unfortunately, these two inhibitors have shown severe side effects, along with weak potency against solid </w:t>
      </w:r>
      <w:r>
        <w:rPr>
          <w:rFonts w:ascii="Times New Roman" w:hAnsi="Times New Roman"/>
          <w:noProof/>
          <w:sz w:val="24"/>
        </w:rPr>
        <w:t>tumours</w:t>
      </w:r>
      <w:r>
        <w:rPr>
          <w:rFonts w:ascii="Times New Roman" w:hAnsi="Times New Roman"/>
          <w:sz w:val="24"/>
        </w:rPr>
        <w:t>, and, moreover, an issue related to acquired resistance has been identified</w:t>
      </w:r>
      <w:r>
        <w:rPr>
          <w:rFonts w:ascii="Times New Roman" w:hAnsi="Times New Roman"/>
          <w:sz w:val="24"/>
          <w:vertAlign w:val="superscript"/>
        </w:rPr>
        <w:t>1,19</w:t>
      </w:r>
      <w:r>
        <w:rPr>
          <w:rFonts w:ascii="Times New Roman" w:hAnsi="Times New Roman"/>
          <w:sz w:val="24"/>
        </w:rPr>
        <w:t>. To overcome these downsides, many studies have focused on designing new and diverse SMO inhibitors, with desirable selectivity against the target of interest</w:t>
      </w:r>
      <w:r>
        <w:rPr>
          <w:rFonts w:ascii="Times New Roman" w:hAnsi="Times New Roman"/>
          <w:sz w:val="24"/>
          <w:vertAlign w:val="superscript"/>
        </w:rPr>
        <w:t>20</w:t>
      </w:r>
      <w:r>
        <w:rPr>
          <w:rFonts w:ascii="Times New Roman" w:hAnsi="Times New Roman"/>
          <w:sz w:val="24"/>
        </w:rPr>
        <w:t xml:space="preserve">. In this regard, a recently </w:t>
      </w:r>
      <w:r>
        <w:rPr>
          <w:rFonts w:ascii="Times New Roman" w:hAnsi="Times New Roman"/>
          <w:noProof/>
          <w:sz w:val="24"/>
        </w:rPr>
        <w:t>synthetized</w:t>
      </w:r>
      <w:r>
        <w:rPr>
          <w:rFonts w:ascii="Times New Roman" w:hAnsi="Times New Roman"/>
          <w:sz w:val="24"/>
        </w:rPr>
        <w:t xml:space="preserve"> and biologically evaluated series of 26 compounds</w:t>
      </w:r>
      <w:r>
        <w:rPr>
          <w:rFonts w:ascii="Times New Roman" w:hAnsi="Times New Roman"/>
          <w:sz w:val="24"/>
          <w:vertAlign w:val="superscript"/>
        </w:rPr>
        <w:t>21</w:t>
      </w:r>
      <w:r>
        <w:rPr>
          <w:rFonts w:ascii="Times New Roman" w:hAnsi="Times New Roman"/>
          <w:sz w:val="24"/>
        </w:rPr>
        <w:t xml:space="preserve"> as SMO antagonists (Table I) was used for computational investigation. </w:t>
      </w:r>
    </w:p>
    <w:p>
      <w:pPr>
        <w:pStyle w:val="P1"/>
        <w:spacing w:line="360" w:lineRule="auto"/>
        <w:ind w:firstLine="425"/>
        <w:rPr>
          <w:rFonts w:ascii="Times New Roman" w:hAnsi="Times New Roman"/>
          <w:sz w:val="24"/>
        </w:rPr>
      </w:pPr>
      <w:r>
        <w:rPr>
          <w:rFonts w:ascii="Times New Roman" w:hAnsi="Times New Roman"/>
          <w:sz w:val="24"/>
        </w:rPr>
        <w:t xml:space="preserve">Ligand - and </w:t>
      </w:r>
      <w:r>
        <w:rPr>
          <w:rFonts w:ascii="Times New Roman" w:hAnsi="Times New Roman"/>
          <w:noProof/>
          <w:sz w:val="24"/>
        </w:rPr>
        <w:t>structure-based</w:t>
      </w:r>
      <w:r>
        <w:rPr>
          <w:rFonts w:ascii="Times New Roman" w:hAnsi="Times New Roman"/>
          <w:sz w:val="24"/>
        </w:rPr>
        <w:t xml:space="preserve"> approaches were involved in order to understand which are the essential features responsible for the inhibition of SMO receptor. Phase software (</w:t>
      </w:r>
      <w:proofErr w:type="gramStart"/>
      <w:r>
        <w:rPr>
          <w:rFonts w:ascii="Times New Roman" w:hAnsi="Times New Roman"/>
          <w:sz w:val="24"/>
        </w:rPr>
        <w:t>Schrödinger</w:t>
      </w:r>
      <w:r>
        <w:rPr>
          <w:rFonts w:ascii="Times New Roman" w:hAnsi="Times New Roman"/>
          <w:color w:val="FF0000"/>
          <w:sz w:val="24"/>
          <w:vertAlign w:val="superscript"/>
        </w:rPr>
        <w:t xml:space="preserve"> </w:t>
      </w:r>
      <w:r>
        <w:rPr>
          <w:rFonts w:ascii="Times New Roman" w:hAnsi="Times New Roman"/>
          <w:color w:val="000000" w:themeColor="text1"/>
          <w:sz w:val="24"/>
        </w:rPr>
        <w:t>)</w:t>
      </w:r>
      <w:r>
        <w:rPr>
          <w:rFonts w:ascii="Times New Roman" w:hAnsi="Times New Roman"/>
          <w:color w:val="FF0000"/>
          <w:sz w:val="24"/>
          <w:vertAlign w:val="superscript"/>
        </w:rPr>
        <w:t>22</w:t>
      </w:r>
      <w:proofErr w:type="gramEnd"/>
      <w:r>
        <w:rPr>
          <w:rFonts w:ascii="Times New Roman" w:hAnsi="Times New Roman"/>
          <w:color w:val="FF0000"/>
          <w:sz w:val="24"/>
        </w:rPr>
        <w:t xml:space="preserve"> </w:t>
      </w:r>
      <w:r>
        <w:rPr>
          <w:rFonts w:ascii="Times New Roman" w:hAnsi="Times New Roman"/>
          <w:sz w:val="24"/>
        </w:rPr>
        <w:t xml:space="preserve">was used for the generation of </w:t>
      </w:r>
      <w:r>
        <w:rPr>
          <w:rFonts w:ascii="Times New Roman" w:hAnsi="Times New Roman"/>
          <w:noProof/>
          <w:sz w:val="24"/>
        </w:rPr>
        <w:t>ligand-based</w:t>
      </w:r>
      <w:r>
        <w:rPr>
          <w:rFonts w:ascii="Times New Roman" w:hAnsi="Times New Roman"/>
          <w:sz w:val="24"/>
        </w:rPr>
        <w:t xml:space="preserve"> pharmacophore models and 3D – QSAR module was employed to validate the models. An external validation of the best pharmacophore hypothesis was achieved based on virtual screening (VS) and statistical evaluation of the results. The importance of </w:t>
      </w:r>
      <w:proofErr w:type="spellStart"/>
      <w:r>
        <w:rPr>
          <w:rFonts w:ascii="Times New Roman" w:hAnsi="Times New Roman"/>
          <w:sz w:val="24"/>
        </w:rPr>
        <w:t>stereochemical</w:t>
      </w:r>
      <w:proofErr w:type="spellEnd"/>
      <w:r>
        <w:rPr>
          <w:rFonts w:ascii="Times New Roman" w:hAnsi="Times New Roman"/>
          <w:sz w:val="24"/>
        </w:rPr>
        <w:t xml:space="preserve"> aspects involved in </w:t>
      </w:r>
      <w:r>
        <w:rPr>
          <w:rFonts w:ascii="Times New Roman" w:hAnsi="Times New Roman"/>
          <w:noProof/>
          <w:sz w:val="24"/>
        </w:rPr>
        <w:t>ligand-receptor</w:t>
      </w:r>
      <w:r>
        <w:rPr>
          <w:rFonts w:ascii="Times New Roman" w:hAnsi="Times New Roman"/>
          <w:sz w:val="24"/>
        </w:rPr>
        <w:t xml:space="preserve"> interactions were highlighted based on the rigid and flexible docking studies performed with Glide</w:t>
      </w:r>
      <w:r>
        <w:rPr>
          <w:rFonts w:ascii="Times New Roman" w:hAnsi="Times New Roman"/>
          <w:color w:val="FF0000"/>
          <w:sz w:val="24"/>
          <w:vertAlign w:val="superscript"/>
        </w:rPr>
        <w:t>23</w:t>
      </w:r>
      <w:r>
        <w:rPr>
          <w:rFonts w:ascii="Times New Roman" w:hAnsi="Times New Roman"/>
          <w:sz w:val="24"/>
        </w:rPr>
        <w:t xml:space="preserve"> and Induced Fit</w:t>
      </w:r>
      <w:r>
        <w:rPr>
          <w:rFonts w:ascii="Times New Roman" w:hAnsi="Times New Roman"/>
          <w:color w:val="FF0000"/>
          <w:sz w:val="24"/>
          <w:vertAlign w:val="superscript"/>
        </w:rPr>
        <w:t xml:space="preserve">24 </w:t>
      </w:r>
      <w:r>
        <w:rPr>
          <w:rFonts w:ascii="Times New Roman" w:hAnsi="Times New Roman"/>
          <w:sz w:val="24"/>
        </w:rPr>
        <w:t>programs.</w:t>
      </w:r>
    </w:p>
    <w:p>
      <w:pPr>
        <w:pStyle w:val="P1"/>
        <w:spacing w:line="360" w:lineRule="auto"/>
        <w:ind w:firstLine="425"/>
        <w:rPr>
          <w:rFonts w:ascii="Times New Roman" w:hAnsi="Times New Roman"/>
          <w:sz w:val="24"/>
        </w:rPr>
      </w:pPr>
    </w:p>
    <w:p>
      <w:pPr>
        <w:spacing w:after="0" w:line="360" w:lineRule="auto"/>
        <w:jc w:val="center"/>
        <w:rPr>
          <w:rFonts w:ascii="Times New Roman" w:hAnsi="Times New Roman" w:cs="Times New Roman"/>
          <w:sz w:val="24"/>
          <w:szCs w:val="24"/>
          <w:lang w:val="en-US"/>
        </w:rPr>
      </w:pPr>
      <w:r>
        <w:rPr>
          <w:rFonts w:ascii="Times New Roman" w:hAnsi="Times New Roman" w:cs="Times New Roman"/>
          <w:sz w:val="24"/>
          <w:szCs w:val="24"/>
          <w:highlight w:val="yellow"/>
          <w:lang w:val="en-US"/>
        </w:rPr>
        <w:t>COMPUTATIONAL METHODS</w:t>
      </w:r>
    </w:p>
    <w:p>
      <w:pPr>
        <w:spacing w:after="0" w:line="360" w:lineRule="auto"/>
        <w:rPr>
          <w:rFonts w:ascii="Times New Roman" w:hAnsi="Times New Roman" w:cs="Times New Roman"/>
          <w:i/>
          <w:sz w:val="24"/>
          <w:szCs w:val="24"/>
          <w:lang w:val="en-US"/>
        </w:rPr>
      </w:pPr>
      <w:r>
        <w:rPr>
          <w:rFonts w:ascii="Times New Roman" w:hAnsi="Times New Roman" w:cs="Times New Roman"/>
          <w:i/>
          <w:sz w:val="24"/>
          <w:szCs w:val="24"/>
          <w:lang w:val="en-US"/>
        </w:rPr>
        <w:t>Pharmacophore generation protocol.</w:t>
      </w:r>
    </w:p>
    <w:p>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In the current study, a dataset of 26 compounds newly synthesized and biologically tested against SMO receptor, by Lu W. and collaborators</w:t>
      </w:r>
      <w:r>
        <w:rPr>
          <w:rFonts w:ascii="Times New Roman" w:hAnsi="Times New Roman" w:cs="Times New Roman"/>
          <w:sz w:val="24"/>
          <w:szCs w:val="24"/>
          <w:vertAlign w:val="superscript"/>
          <w:lang w:val="en-US"/>
        </w:rPr>
        <w:t>21</w:t>
      </w:r>
      <w:r>
        <w:rPr>
          <w:rFonts w:ascii="Times New Roman" w:hAnsi="Times New Roman" w:cs="Times New Roman"/>
          <w:sz w:val="24"/>
          <w:szCs w:val="24"/>
          <w:lang w:val="en-US"/>
        </w:rPr>
        <w:t xml:space="preserve"> (</w:t>
      </w:r>
      <w:r>
        <w:rPr>
          <w:rFonts w:ascii="Times New Roman" w:hAnsi="Times New Roman" w:cs="Times New Roman"/>
          <w:sz w:val="24"/>
          <w:szCs w:val="24"/>
          <w:highlight w:val="yellow"/>
          <w:lang w:val="en-US"/>
        </w:rPr>
        <w:t>Table S1, see</w:t>
      </w:r>
      <w:r>
        <w:rPr>
          <w:rFonts w:ascii="Times New Roman" w:hAnsi="Times New Roman" w:cs="Times New Roman"/>
          <w:sz w:val="24"/>
          <w:szCs w:val="24"/>
          <w:lang w:val="en-US"/>
        </w:rPr>
        <w:t xml:space="preserve"> </w:t>
      </w:r>
      <w:r>
        <w:rPr>
          <w:rFonts w:ascii="Times New Roman" w:hAnsi="Times New Roman" w:cs="Times New Roman"/>
          <w:sz w:val="24"/>
          <w:szCs w:val="24"/>
          <w:highlight w:val="yellow"/>
          <w:lang w:val="en"/>
        </w:rPr>
        <w:t>Supplementary Material</w:t>
      </w:r>
      <w:r>
        <w:rPr>
          <w:rFonts w:ascii="Times New Roman" w:hAnsi="Times New Roman" w:cs="Times New Roman"/>
          <w:sz w:val="24"/>
          <w:szCs w:val="24"/>
          <w:highlight w:val="yellow"/>
          <w:lang w:val="en-US"/>
        </w:rPr>
        <w:t xml:space="preserve"> section</w:t>
      </w:r>
      <w:r>
        <w:rPr>
          <w:rFonts w:ascii="Times New Roman" w:hAnsi="Times New Roman" w:cs="Times New Roman"/>
          <w:sz w:val="24"/>
          <w:szCs w:val="24"/>
          <w:lang w:val="en-US"/>
        </w:rPr>
        <w:t xml:space="preserve">) was the subject of computational analysis for pharmacophore generation and docking studies. </w:t>
      </w:r>
      <w:r>
        <w:rPr>
          <w:rFonts w:ascii="Times New Roman" w:hAnsi="Times New Roman" w:cs="Times New Roman"/>
          <w:sz w:val="24"/>
          <w:szCs w:val="24"/>
          <w:highlight w:val="yellow"/>
          <w:lang w:val="en-US"/>
        </w:rPr>
        <w:t xml:space="preserve">The preparation of the ligands for </w:t>
      </w:r>
      <w:r>
        <w:rPr>
          <w:rFonts w:ascii="Times New Roman" w:hAnsi="Times New Roman" w:cs="Times New Roman"/>
          <w:i/>
          <w:sz w:val="24"/>
          <w:szCs w:val="24"/>
          <w:highlight w:val="yellow"/>
          <w:lang w:val="en-US"/>
        </w:rPr>
        <w:t xml:space="preserve">in </w:t>
      </w:r>
      <w:proofErr w:type="spellStart"/>
      <w:r>
        <w:rPr>
          <w:rFonts w:ascii="Times New Roman" w:hAnsi="Times New Roman" w:cs="Times New Roman"/>
          <w:i/>
          <w:sz w:val="24"/>
          <w:szCs w:val="24"/>
          <w:highlight w:val="yellow"/>
          <w:lang w:val="en-US"/>
        </w:rPr>
        <w:t>silico</w:t>
      </w:r>
      <w:proofErr w:type="spellEnd"/>
      <w:r>
        <w:rPr>
          <w:rFonts w:ascii="Times New Roman" w:hAnsi="Times New Roman" w:cs="Times New Roman"/>
          <w:sz w:val="24"/>
          <w:szCs w:val="24"/>
          <w:highlight w:val="yellow"/>
          <w:lang w:val="en-US"/>
        </w:rPr>
        <w:t xml:space="preserve"> studies along with the steps followed for </w:t>
      </w:r>
      <w:r>
        <w:rPr>
          <w:rFonts w:ascii="Times New Roman" w:hAnsi="Times New Roman" w:cs="Times New Roman"/>
          <w:sz w:val="24"/>
          <w:szCs w:val="24"/>
          <w:highlight w:val="yellow"/>
          <w:lang w:val="en-US"/>
        </w:rPr>
        <w:lastRenderedPageBreak/>
        <w:t xml:space="preserve">the generation of pharmacophore hypotheses </w:t>
      </w:r>
      <w:proofErr w:type="gramStart"/>
      <w:r>
        <w:rPr>
          <w:rFonts w:ascii="Times New Roman" w:hAnsi="Times New Roman" w:cs="Times New Roman"/>
          <w:sz w:val="24"/>
          <w:szCs w:val="24"/>
          <w:highlight w:val="yellow"/>
          <w:lang w:val="en-US"/>
        </w:rPr>
        <w:t>are presented</w:t>
      </w:r>
      <w:proofErr w:type="gramEnd"/>
      <w:r>
        <w:rPr>
          <w:rFonts w:ascii="Times New Roman" w:hAnsi="Times New Roman" w:cs="Times New Roman"/>
          <w:sz w:val="24"/>
          <w:szCs w:val="24"/>
          <w:highlight w:val="yellow"/>
          <w:lang w:val="en-US"/>
        </w:rPr>
        <w:t xml:space="preserve"> in detailed manner in </w:t>
      </w:r>
      <w:r>
        <w:rPr>
          <w:rFonts w:ascii="Times New Roman" w:hAnsi="Times New Roman" w:cs="Times New Roman"/>
          <w:sz w:val="24"/>
          <w:szCs w:val="24"/>
          <w:highlight w:val="yellow"/>
          <w:lang w:val="en"/>
        </w:rPr>
        <w:t>Supplementary Material</w:t>
      </w:r>
      <w:r>
        <w:rPr>
          <w:rFonts w:ascii="Times New Roman" w:hAnsi="Times New Roman" w:cs="Times New Roman"/>
          <w:sz w:val="24"/>
          <w:szCs w:val="24"/>
          <w:highlight w:val="yellow"/>
          <w:lang w:val="en-US"/>
        </w:rPr>
        <w:t xml:space="preserve"> section.</w:t>
      </w:r>
      <w:r>
        <w:rPr>
          <w:rFonts w:ascii="Times New Roman" w:hAnsi="Times New Roman" w:cs="Times New Roman"/>
          <w:sz w:val="24"/>
          <w:szCs w:val="24"/>
          <w:lang w:val="en-US"/>
        </w:rPr>
        <w:t xml:space="preserve"> </w:t>
      </w:r>
    </w:p>
    <w:p>
      <w:pPr>
        <w:spacing w:after="0" w:line="360" w:lineRule="auto"/>
        <w:ind w:firstLine="720"/>
        <w:jc w:val="both"/>
        <w:rPr>
          <w:rFonts w:ascii="Times New Roman" w:eastAsia="MS Mincho" w:hAnsi="Times New Roman" w:cs="Times New Roman"/>
          <w:color w:val="FF0000"/>
          <w:sz w:val="24"/>
          <w:szCs w:val="24"/>
          <w:lang w:val="en-US" w:eastAsia="ja-JP"/>
        </w:rPr>
      </w:pPr>
      <w:r>
        <w:rPr>
          <w:rFonts w:ascii="Times New Roman" w:hAnsi="Times New Roman" w:cs="Times New Roman"/>
          <w:sz w:val="24"/>
          <w:szCs w:val="24"/>
          <w:lang w:val="en-US"/>
        </w:rPr>
        <w:t>Phase</w:t>
      </w:r>
      <w:r>
        <w:rPr>
          <w:rFonts w:ascii="Times New Roman" w:hAnsi="Times New Roman" w:cs="Times New Roman"/>
          <w:color w:val="FF0000"/>
          <w:sz w:val="24"/>
          <w:szCs w:val="24"/>
          <w:vertAlign w:val="superscript"/>
          <w:lang w:val="en-US"/>
        </w:rPr>
        <w:t>22</w:t>
      </w:r>
      <w:r>
        <w:rPr>
          <w:rFonts w:ascii="Times New Roman" w:hAnsi="Times New Roman" w:cs="Times New Roman"/>
          <w:sz w:val="24"/>
          <w:szCs w:val="24"/>
          <w:lang w:val="en-US"/>
        </w:rPr>
        <w:t xml:space="preserve"> with the option: “Develop Common Pharmacophore Hypotheses” was used for the generation and validation of the pharmacophore hypotheses by the involvement of the </w:t>
      </w:r>
      <w:r>
        <w:rPr>
          <w:rFonts w:ascii="Times New Roman" w:hAnsi="Times New Roman" w:cs="Times New Roman"/>
          <w:noProof/>
          <w:sz w:val="24"/>
          <w:szCs w:val="24"/>
          <w:lang w:val="en-US"/>
        </w:rPr>
        <w:t>Atom-based</w:t>
      </w:r>
      <w:r>
        <w:rPr>
          <w:rFonts w:ascii="Times New Roman" w:hAnsi="Times New Roman" w:cs="Times New Roman"/>
          <w:sz w:val="24"/>
          <w:szCs w:val="24"/>
          <w:lang w:val="en-US"/>
        </w:rPr>
        <w:t xml:space="preserve"> QSAR module. </w:t>
      </w:r>
      <w:r>
        <w:rPr>
          <w:rFonts w:ascii="Times New Roman" w:eastAsia="MS Mincho" w:hAnsi="Times New Roman" w:cs="Times New Roman"/>
          <w:sz w:val="24"/>
          <w:szCs w:val="24"/>
          <w:lang w:val="en-US" w:eastAsia="ja-JP"/>
        </w:rPr>
        <w:t xml:space="preserve">The following features: hydrogen bond donor/acceptor, hydrophobic, negative, positive and aromatic rings were taken </w:t>
      </w:r>
      <w:r>
        <w:rPr>
          <w:rFonts w:ascii="Times New Roman" w:eastAsia="MS Mincho" w:hAnsi="Times New Roman" w:cs="Times New Roman"/>
          <w:noProof/>
          <w:sz w:val="24"/>
          <w:szCs w:val="24"/>
          <w:lang w:val="en-US" w:eastAsia="ja-JP"/>
        </w:rPr>
        <w:t>in</w:t>
      </w:r>
      <w:r>
        <w:rPr>
          <w:rFonts w:ascii="Times New Roman" w:eastAsia="MS Mincho" w:hAnsi="Times New Roman" w:cs="Times New Roman"/>
          <w:sz w:val="24"/>
          <w:szCs w:val="24"/>
          <w:lang w:val="en-US" w:eastAsia="ja-JP"/>
        </w:rPr>
        <w:t xml:space="preserve"> account for the generation of the pharmacophore hypotheses. In order to select the best hypothesis, an </w:t>
      </w:r>
      <w:r>
        <w:rPr>
          <w:rFonts w:ascii="Times New Roman" w:eastAsia="MS Mincho" w:hAnsi="Times New Roman" w:cs="Times New Roman"/>
          <w:noProof/>
          <w:sz w:val="24"/>
          <w:szCs w:val="24"/>
          <w:lang w:val="en-US" w:eastAsia="ja-JP"/>
        </w:rPr>
        <w:t>Atom-based</w:t>
      </w:r>
      <w:r>
        <w:rPr>
          <w:rFonts w:ascii="Times New Roman" w:eastAsia="MS Mincho" w:hAnsi="Times New Roman" w:cs="Times New Roman"/>
          <w:sz w:val="24"/>
          <w:szCs w:val="24"/>
          <w:lang w:val="en-US" w:eastAsia="ja-JP"/>
        </w:rPr>
        <w:t xml:space="preserve"> 3D-QSAR analysis was carried out using three partial least-squares (PLS) factors. The test set compounds represent roughly 23% of the dataset and were selected to cover the same range of activity as the compounds from the training set</w:t>
      </w:r>
      <w:r>
        <w:rPr>
          <w:rFonts w:ascii="Times New Roman" w:eastAsia="MS Mincho" w:hAnsi="Times New Roman" w:cs="Times New Roman"/>
          <w:color w:val="FF0000"/>
          <w:sz w:val="24"/>
          <w:szCs w:val="24"/>
          <w:vertAlign w:val="superscript"/>
          <w:lang w:val="en-US" w:eastAsia="ja-JP"/>
        </w:rPr>
        <w:t>25</w:t>
      </w:r>
      <w:r>
        <w:rPr>
          <w:rFonts w:ascii="Times New Roman" w:eastAsia="MS Mincho" w:hAnsi="Times New Roman" w:cs="Times New Roman"/>
          <w:sz w:val="24"/>
          <w:szCs w:val="24"/>
          <w:highlight w:val="yellow"/>
          <w:lang w:val="en-US" w:eastAsia="ja-JP"/>
        </w:rPr>
        <w:t>. The multidimensional descriptor space between the training and test set was checked</w:t>
      </w:r>
      <w:r>
        <w:rPr>
          <w:rFonts w:ascii="Times New Roman" w:eastAsia="MS Mincho" w:hAnsi="Times New Roman" w:cs="Times New Roman"/>
          <w:color w:val="FF0000"/>
          <w:sz w:val="24"/>
          <w:szCs w:val="24"/>
          <w:highlight w:val="yellow"/>
          <w:vertAlign w:val="superscript"/>
          <w:lang w:val="en-US" w:eastAsia="ja-JP"/>
        </w:rPr>
        <w:t>26</w:t>
      </w:r>
      <w:r>
        <w:rPr>
          <w:rFonts w:ascii="Times New Roman" w:eastAsia="MS Mincho" w:hAnsi="Times New Roman" w:cs="Times New Roman"/>
          <w:sz w:val="24"/>
          <w:szCs w:val="24"/>
          <w:highlight w:val="yellow"/>
          <w:lang w:val="en-US" w:eastAsia="ja-JP"/>
        </w:rPr>
        <w:t xml:space="preserve"> using 2D fingerprints. The well-known </w:t>
      </w:r>
      <w:r>
        <w:rPr>
          <w:rFonts w:ascii="Times New Roman" w:eastAsia="MS Mincho" w:hAnsi="Times New Roman" w:cs="Times New Roman"/>
          <w:bCs/>
          <w:sz w:val="24"/>
          <w:szCs w:val="24"/>
          <w:highlight w:val="yellow"/>
          <w:lang w:val="en-US" w:eastAsia="ja-JP"/>
        </w:rPr>
        <w:t xml:space="preserve">2D </w:t>
      </w:r>
      <w:proofErr w:type="spellStart"/>
      <w:r>
        <w:rPr>
          <w:rFonts w:ascii="Times New Roman" w:eastAsia="MS Mincho" w:hAnsi="Times New Roman" w:cs="Times New Roman"/>
          <w:bCs/>
          <w:sz w:val="24"/>
          <w:szCs w:val="24"/>
          <w:highlight w:val="yellow"/>
          <w:lang w:val="en-US" w:eastAsia="ja-JP"/>
        </w:rPr>
        <w:t>Tanimoto</w:t>
      </w:r>
      <w:proofErr w:type="spellEnd"/>
      <w:r>
        <w:rPr>
          <w:rFonts w:ascii="Times New Roman" w:eastAsia="MS Mincho" w:hAnsi="Times New Roman" w:cs="Times New Roman"/>
          <w:bCs/>
          <w:sz w:val="24"/>
          <w:szCs w:val="24"/>
          <w:highlight w:val="yellow"/>
          <w:lang w:val="en-US" w:eastAsia="ja-JP"/>
        </w:rPr>
        <w:t xml:space="preserve"> and Euclidean distance coefficients, and the median values for important 2D properties of molecules were calculated (See </w:t>
      </w:r>
      <w:r>
        <w:rPr>
          <w:rFonts w:ascii="Times New Roman" w:eastAsia="MS Mincho" w:hAnsi="Times New Roman" w:cs="Times New Roman"/>
          <w:bCs/>
          <w:sz w:val="24"/>
          <w:szCs w:val="24"/>
          <w:highlight w:val="yellow"/>
          <w:lang w:val="en" w:eastAsia="ja-JP"/>
        </w:rPr>
        <w:t>Supplementary Material</w:t>
      </w:r>
      <w:r>
        <w:rPr>
          <w:rFonts w:ascii="Times New Roman" w:eastAsia="MS Mincho" w:hAnsi="Times New Roman" w:cs="Times New Roman"/>
          <w:bCs/>
          <w:sz w:val="24"/>
          <w:szCs w:val="24"/>
          <w:highlight w:val="yellow"/>
          <w:lang w:val="en-US" w:eastAsia="ja-JP"/>
        </w:rPr>
        <w:t>).</w:t>
      </w:r>
      <w:r>
        <w:rPr>
          <w:rFonts w:ascii="Times New Roman" w:eastAsia="MS Mincho" w:hAnsi="Times New Roman" w:cs="Times New Roman"/>
          <w:sz w:val="24"/>
          <w:szCs w:val="24"/>
          <w:lang w:val="en-US" w:eastAsia="ja-JP"/>
        </w:rPr>
        <w:t xml:space="preserve"> </w:t>
      </w:r>
    </w:p>
    <w:p>
      <w:pPr>
        <w:spacing w:after="0" w:line="360" w:lineRule="auto"/>
        <w:ind w:firstLine="720"/>
        <w:jc w:val="both"/>
        <w:rPr>
          <w:rFonts w:ascii="Times New Roman" w:eastAsia="MS Mincho" w:hAnsi="Times New Roman" w:cs="Times New Roman"/>
          <w:bCs/>
          <w:sz w:val="24"/>
          <w:szCs w:val="24"/>
          <w:highlight w:val="yellow"/>
          <w:lang w:val="en-US" w:eastAsia="ja-JP"/>
        </w:rPr>
      </w:pPr>
      <w:r>
        <w:rPr>
          <w:rFonts w:ascii="Times New Roman" w:eastAsia="MS Mincho" w:hAnsi="Times New Roman" w:cs="Times New Roman"/>
          <w:sz w:val="24"/>
          <w:szCs w:val="24"/>
          <w:highlight w:val="yellow"/>
          <w:lang w:val="en-US" w:eastAsia="ja-JP"/>
        </w:rPr>
        <w:t xml:space="preserve">The best selected pharmacophore hypothesis was employed in VS </w:t>
      </w:r>
      <w:r>
        <w:rPr>
          <w:rFonts w:ascii="Times New Roman" w:eastAsia="MS Mincho" w:hAnsi="Times New Roman" w:cs="Times New Roman"/>
          <w:noProof/>
          <w:sz w:val="24"/>
          <w:szCs w:val="24"/>
          <w:highlight w:val="yellow"/>
          <w:lang w:val="en-US" w:eastAsia="ja-JP"/>
        </w:rPr>
        <w:t xml:space="preserve">experiments using </w:t>
      </w:r>
      <w:r>
        <w:rPr>
          <w:rFonts w:ascii="Times New Roman" w:eastAsia="MS Mincho" w:hAnsi="Times New Roman" w:cs="Times New Roman"/>
          <w:sz w:val="24"/>
          <w:szCs w:val="24"/>
          <w:highlight w:val="yellow"/>
          <w:lang w:val="en-US" w:eastAsia="ja-JP"/>
        </w:rPr>
        <w:t xml:space="preserve">the Advanced Pharmacophore Screening option of Phase software (the </w:t>
      </w:r>
      <w:proofErr w:type="spellStart"/>
      <w:r>
        <w:rPr>
          <w:rFonts w:ascii="Times New Roman" w:eastAsia="MS Mincho" w:hAnsi="Times New Roman" w:cs="Times New Roman"/>
          <w:sz w:val="24"/>
          <w:szCs w:val="24"/>
          <w:highlight w:val="yellow"/>
          <w:lang w:val="en-US" w:eastAsia="ja-JP"/>
        </w:rPr>
        <w:t>intersite</w:t>
      </w:r>
      <w:proofErr w:type="spellEnd"/>
      <w:r>
        <w:rPr>
          <w:rFonts w:ascii="Times New Roman" w:eastAsia="MS Mincho" w:hAnsi="Times New Roman" w:cs="Times New Roman"/>
          <w:sz w:val="24"/>
          <w:szCs w:val="24"/>
          <w:highlight w:val="yellow"/>
          <w:lang w:val="en-US" w:eastAsia="ja-JP"/>
        </w:rPr>
        <w:t xml:space="preserve"> distance matching tolerance was of 2Å for minimum four site points) to test its ability to distinguish active compounds or positives from inactive ones or negatives (assumed to be the decoys).</w:t>
      </w:r>
      <w:r>
        <w:rPr>
          <w:rFonts w:ascii="Times New Roman" w:eastAsia="MS Mincho" w:hAnsi="Times New Roman" w:cs="Times New Roman"/>
          <w:sz w:val="24"/>
          <w:szCs w:val="24"/>
          <w:lang w:val="en-US" w:eastAsia="ja-JP"/>
        </w:rPr>
        <w:t xml:space="preserve"> </w:t>
      </w:r>
      <w:r>
        <w:rPr>
          <w:rFonts w:ascii="Times New Roman" w:eastAsia="MS Mincho" w:hAnsi="Times New Roman" w:cs="Times New Roman"/>
          <w:sz w:val="24"/>
          <w:szCs w:val="24"/>
          <w:highlight w:val="yellow"/>
          <w:lang w:val="en-US" w:eastAsia="ja-JP"/>
        </w:rPr>
        <w:t xml:space="preserve">For this purpose, an external validation dataset </w:t>
      </w:r>
      <w:proofErr w:type="gramStart"/>
      <w:r>
        <w:rPr>
          <w:rFonts w:ascii="Times New Roman" w:eastAsia="MS Mincho" w:hAnsi="Times New Roman" w:cs="Times New Roman"/>
          <w:sz w:val="24"/>
          <w:szCs w:val="24"/>
          <w:highlight w:val="yellow"/>
          <w:lang w:val="en-US" w:eastAsia="ja-JP"/>
        </w:rPr>
        <w:t>was assembled</w:t>
      </w:r>
      <w:proofErr w:type="gramEnd"/>
      <w:r>
        <w:rPr>
          <w:rFonts w:ascii="Times New Roman" w:eastAsia="MS Mincho" w:hAnsi="Times New Roman" w:cs="Times New Roman"/>
          <w:sz w:val="24"/>
          <w:szCs w:val="24"/>
          <w:highlight w:val="yellow"/>
          <w:lang w:val="en-US" w:eastAsia="ja-JP"/>
        </w:rPr>
        <w:t>,</w:t>
      </w:r>
      <w:r>
        <w:rPr>
          <w:rFonts w:ascii="Times New Roman" w:eastAsia="MS Mincho" w:hAnsi="Times New Roman" w:cs="Times New Roman"/>
          <w:sz w:val="24"/>
          <w:szCs w:val="24"/>
          <w:lang w:val="en-US" w:eastAsia="ja-JP"/>
        </w:rPr>
        <w:t xml:space="preserve"> </w:t>
      </w:r>
      <w:r>
        <w:rPr>
          <w:rFonts w:ascii="Times New Roman" w:eastAsia="MS Mincho" w:hAnsi="Times New Roman" w:cs="Times New Roman"/>
          <w:sz w:val="24"/>
          <w:szCs w:val="24"/>
          <w:highlight w:val="yellow"/>
          <w:lang w:val="en-US" w:eastAsia="ja-JP"/>
        </w:rPr>
        <w:t xml:space="preserve">and it was realized following the protocol described in the </w:t>
      </w:r>
      <w:r>
        <w:rPr>
          <w:rFonts w:ascii="Times New Roman" w:eastAsia="MS Mincho" w:hAnsi="Times New Roman" w:cs="Times New Roman"/>
          <w:sz w:val="24"/>
          <w:szCs w:val="24"/>
          <w:highlight w:val="yellow"/>
          <w:lang w:val="en" w:eastAsia="ja-JP"/>
        </w:rPr>
        <w:t>Supplementary Material</w:t>
      </w:r>
      <w:r>
        <w:rPr>
          <w:rFonts w:ascii="Times New Roman" w:eastAsia="MS Mincho" w:hAnsi="Times New Roman" w:cs="Times New Roman"/>
          <w:sz w:val="24"/>
          <w:szCs w:val="24"/>
          <w:highlight w:val="yellow"/>
          <w:lang w:val="en-US" w:eastAsia="ja-JP"/>
        </w:rPr>
        <w:t>.</w:t>
      </w:r>
      <w:r>
        <w:rPr>
          <w:rFonts w:ascii="Times New Roman" w:eastAsia="MS Mincho" w:hAnsi="Times New Roman" w:cs="Times New Roman"/>
          <w:sz w:val="24"/>
          <w:szCs w:val="24"/>
          <w:lang w:val="en-US" w:eastAsia="ja-JP"/>
        </w:rPr>
        <w:t xml:space="preserve">  </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The VS results were evaluated using an in-house developed program, Evaluation Tool </w:t>
      </w:r>
      <w:proofErr w:type="gramStart"/>
      <w:r>
        <w:rPr>
          <w:rFonts w:ascii="Times New Roman" w:eastAsia="MS Mincho" w:hAnsi="Times New Roman" w:cs="Times New Roman"/>
          <w:sz w:val="24"/>
          <w:szCs w:val="24"/>
          <w:lang w:val="en-US" w:eastAsia="ja-JP"/>
        </w:rPr>
        <w:t>In</w:t>
      </w:r>
      <w:proofErr w:type="gramEnd"/>
      <w:r>
        <w:rPr>
          <w:rFonts w:ascii="Times New Roman" w:eastAsia="MS Mincho" w:hAnsi="Times New Roman" w:cs="Times New Roman"/>
          <w:sz w:val="24"/>
          <w:szCs w:val="24"/>
          <w:lang w:val="en-US" w:eastAsia="ja-JP"/>
        </w:rPr>
        <w:t xml:space="preserve"> </w:t>
      </w:r>
      <w:proofErr w:type="spellStart"/>
      <w:r>
        <w:rPr>
          <w:rFonts w:ascii="Times New Roman" w:eastAsia="MS Mincho" w:hAnsi="Times New Roman" w:cs="Times New Roman"/>
          <w:sz w:val="24"/>
          <w:szCs w:val="24"/>
          <w:lang w:val="en-US" w:eastAsia="ja-JP"/>
        </w:rPr>
        <w:t>ChemInformatics</w:t>
      </w:r>
      <w:proofErr w:type="spellEnd"/>
      <w:r>
        <w:rPr>
          <w:rFonts w:ascii="Times New Roman" w:eastAsia="MS Mincho" w:hAnsi="Times New Roman" w:cs="Times New Roman"/>
          <w:sz w:val="24"/>
          <w:szCs w:val="24"/>
          <w:lang w:val="en-US" w:eastAsia="ja-JP"/>
        </w:rPr>
        <w:t xml:space="preserve"> (ETICI 1.6)</w:t>
      </w:r>
      <w:r>
        <w:rPr>
          <w:rFonts w:ascii="Times New Roman" w:eastAsia="MS Mincho" w:hAnsi="Times New Roman" w:cs="Times New Roman"/>
          <w:sz w:val="24"/>
          <w:szCs w:val="24"/>
          <w:vertAlign w:val="superscript"/>
          <w:lang w:val="en-US" w:eastAsia="ja-JP"/>
        </w:rPr>
        <w:t>27</w:t>
      </w:r>
      <w:r>
        <w:rPr>
          <w:rFonts w:ascii="Times New Roman" w:eastAsia="MS Mincho" w:hAnsi="Times New Roman" w:cs="Times New Roman"/>
          <w:sz w:val="24"/>
          <w:szCs w:val="24"/>
          <w:lang w:val="en-US" w:eastAsia="ja-JP"/>
        </w:rPr>
        <w:t>. The following statistical metrics (Eq. 1-5) were used for the evaluation: receiver operating characteristics (ROC) curve and its corresponding area under the curve (AUC)</w:t>
      </w:r>
      <w:r>
        <w:rPr>
          <w:rFonts w:ascii="Times New Roman" w:eastAsia="MS Mincho" w:hAnsi="Times New Roman" w:cs="Times New Roman"/>
          <w:sz w:val="24"/>
          <w:szCs w:val="24"/>
          <w:vertAlign w:val="superscript"/>
          <w:lang w:val="en-US" w:eastAsia="ja-JP"/>
        </w:rPr>
        <w:t>28</w:t>
      </w:r>
      <w:r>
        <w:rPr>
          <w:rFonts w:ascii="Times New Roman" w:eastAsia="MS Mincho" w:hAnsi="Times New Roman" w:cs="Times New Roman"/>
          <w:sz w:val="24"/>
          <w:szCs w:val="24"/>
          <w:lang w:val="en-US" w:eastAsia="ja-JP"/>
        </w:rPr>
        <w:t xml:space="preserve"> Boltzmann Enhanced Discrimination of ROC (BEDROC)</w:t>
      </w:r>
      <w:r>
        <w:rPr>
          <w:rFonts w:ascii="Times New Roman" w:eastAsia="MS Mincho" w:hAnsi="Times New Roman" w:cs="Times New Roman"/>
          <w:sz w:val="24"/>
          <w:szCs w:val="24"/>
          <w:vertAlign w:val="superscript"/>
          <w:lang w:val="en-US" w:eastAsia="ja-JP"/>
        </w:rPr>
        <w:t>29</w:t>
      </w:r>
      <w:r>
        <w:rPr>
          <w:rFonts w:ascii="Times New Roman" w:eastAsia="MS Mincho" w:hAnsi="Times New Roman" w:cs="Times New Roman"/>
          <w:sz w:val="24"/>
          <w:szCs w:val="24"/>
          <w:lang w:val="en-US" w:eastAsia="ja-JP"/>
        </w:rPr>
        <w:t>, precision (PPV)</w:t>
      </w:r>
      <w:r>
        <w:rPr>
          <w:rFonts w:ascii="Times New Roman" w:eastAsia="MS Mincho" w:hAnsi="Times New Roman" w:cs="Times New Roman"/>
          <w:sz w:val="24"/>
          <w:szCs w:val="24"/>
          <w:vertAlign w:val="superscript"/>
          <w:lang w:val="en-US" w:eastAsia="ja-JP"/>
        </w:rPr>
        <w:t>30</w:t>
      </w:r>
      <w:r>
        <w:rPr>
          <w:rFonts w:ascii="Times New Roman" w:eastAsia="MS Mincho" w:hAnsi="Times New Roman" w:cs="Times New Roman"/>
          <w:sz w:val="24"/>
          <w:szCs w:val="24"/>
          <w:lang w:val="en-US" w:eastAsia="ja-JP"/>
        </w:rPr>
        <w:t xml:space="preserve">, </w:t>
      </w:r>
      <w:r>
        <w:rPr>
          <w:rFonts w:ascii="Times New Roman" w:eastAsia="MS Mincho" w:hAnsi="Times New Roman" w:cs="Times New Roman"/>
          <w:sz w:val="24"/>
          <w:szCs w:val="24"/>
          <w:lang w:eastAsia="en-GB"/>
        </w:rPr>
        <w:t>accuracy (</w:t>
      </w:r>
      <w:proofErr w:type="spellStart"/>
      <w:r>
        <w:rPr>
          <w:rFonts w:ascii="Times New Roman" w:eastAsia="MS Mincho" w:hAnsi="Times New Roman" w:cs="Times New Roman"/>
          <w:noProof/>
          <w:sz w:val="24"/>
          <w:szCs w:val="24"/>
          <w:lang w:eastAsia="en-GB"/>
        </w:rPr>
        <w:t>Acc</w:t>
      </w:r>
      <w:proofErr w:type="spellEnd"/>
      <w:r>
        <w:rPr>
          <w:rFonts w:ascii="Times New Roman" w:eastAsia="MS Mincho" w:hAnsi="Times New Roman" w:cs="Times New Roman"/>
          <w:sz w:val="24"/>
          <w:szCs w:val="24"/>
          <w:lang w:eastAsia="en-GB"/>
        </w:rPr>
        <w:t>), sensitivity (Se), specificity (</w:t>
      </w:r>
      <w:proofErr w:type="spellStart"/>
      <w:r>
        <w:rPr>
          <w:rFonts w:ascii="Times New Roman" w:eastAsia="MS Mincho" w:hAnsi="Times New Roman" w:cs="Times New Roman"/>
          <w:sz w:val="24"/>
          <w:szCs w:val="24"/>
          <w:lang w:eastAsia="en-GB"/>
        </w:rPr>
        <w:t>Sp</w:t>
      </w:r>
      <w:proofErr w:type="spellEnd"/>
      <w:r>
        <w:rPr>
          <w:rFonts w:ascii="Times New Roman" w:eastAsia="MS Mincho" w:hAnsi="Times New Roman" w:cs="Times New Roman"/>
          <w:sz w:val="24"/>
          <w:szCs w:val="24"/>
          <w:lang w:eastAsia="en-GB"/>
        </w:rPr>
        <w:t>)</w:t>
      </w:r>
      <w:r>
        <w:rPr>
          <w:rFonts w:ascii="Times New Roman" w:eastAsia="MS Mincho" w:hAnsi="Times New Roman" w:cs="Times New Roman"/>
          <w:sz w:val="24"/>
          <w:szCs w:val="24"/>
          <w:vertAlign w:val="superscript"/>
          <w:lang w:eastAsia="en-GB"/>
        </w:rPr>
        <w:t>31</w:t>
      </w:r>
      <w:r>
        <w:rPr>
          <w:rFonts w:ascii="Times New Roman" w:eastAsia="MS Mincho" w:hAnsi="Times New Roman" w:cs="Times New Roman"/>
          <w:sz w:val="24"/>
          <w:szCs w:val="24"/>
          <w:lang w:eastAsia="en-GB"/>
        </w:rPr>
        <w:t>,</w:t>
      </w:r>
      <w:r>
        <w:rPr>
          <w:rFonts w:ascii="Times New Roman" w:eastAsia="MS Mincho" w:hAnsi="Times New Roman" w:cs="Times New Roman"/>
          <w:sz w:val="24"/>
          <w:szCs w:val="24"/>
          <w:lang w:val="en-US" w:eastAsia="ja-JP"/>
        </w:rPr>
        <w:t xml:space="preserve"> and the true positive (TP%) at 1%, 2%, 5%, 10% of false positives (FPs)</w:t>
      </w:r>
      <w:r>
        <w:rPr>
          <w:rFonts w:ascii="Times New Roman" w:eastAsia="MS Mincho" w:hAnsi="Times New Roman" w:cs="Times New Roman"/>
          <w:sz w:val="24"/>
          <w:szCs w:val="24"/>
          <w:vertAlign w:val="superscript"/>
          <w:lang w:val="en-US" w:eastAsia="ja-JP"/>
        </w:rPr>
        <w:t>32</w:t>
      </w:r>
      <w:r>
        <w:rPr>
          <w:rFonts w:ascii="Times New Roman" w:eastAsia="MS Mincho" w:hAnsi="Times New Roman" w:cs="Times New Roman"/>
          <w:sz w:val="24"/>
          <w:szCs w:val="24"/>
          <w:lang w:val="en-US" w:eastAsia="ja-JP"/>
        </w:rPr>
        <w:t xml:space="preserve">. </w:t>
      </w:r>
    </w:p>
    <w:p>
      <w:pPr>
        <w:spacing w:after="0" w:line="360" w:lineRule="auto"/>
        <w:ind w:firstLine="720"/>
        <w:jc w:val="both"/>
      </w:pPr>
      <w:r>
        <w:rPr>
          <w:position w:val="-28"/>
        </w:rPr>
        <w:object w:dxaOrig="30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45pt;height:34.4pt" o:ole="">
            <v:imagedata r:id="rId10" o:title=""/>
          </v:shape>
          <o:OLEObject Type="Embed" ProgID="Equation.DSMT4" ShapeID="_x0000_i1025" DrawAspect="Content" ObjectID="_1623824437" r:id="rId11"/>
        </w:object>
      </w:r>
      <w:r>
        <w:t xml:space="preserve">                      (1)</w:t>
      </w:r>
    </w:p>
    <w:p>
      <w:pPr>
        <w:spacing w:after="0" w:line="360" w:lineRule="auto"/>
        <w:ind w:firstLine="720"/>
        <w:jc w:val="both"/>
      </w:pPr>
      <w:r>
        <w:rPr>
          <w:position w:val="-24"/>
        </w:rPr>
        <w:object w:dxaOrig="1640" w:dyaOrig="620">
          <v:shape id="_x0000_i1026" type="#_x0000_t75" style="width:81.65pt;height:30.65pt" o:ole="">
            <v:imagedata r:id="rId12" o:title=""/>
          </v:shape>
          <o:OLEObject Type="Embed" ProgID="Equation.DSMT4" ShapeID="_x0000_i1026" DrawAspect="Content" ObjectID="_1623824438" r:id="rId13"/>
        </w:object>
      </w:r>
      <w:r>
        <w:t xml:space="preserve">                                                  (2)</w:t>
      </w:r>
    </w:p>
    <w:p>
      <w:pPr>
        <w:spacing w:after="0" w:line="360" w:lineRule="auto"/>
        <w:ind w:firstLine="720"/>
        <w:jc w:val="both"/>
      </w:pPr>
      <w:r>
        <w:rPr>
          <w:position w:val="-24"/>
        </w:rPr>
        <w:object w:dxaOrig="1420" w:dyaOrig="620">
          <v:shape id="_x0000_i1027" type="#_x0000_t75" style="width:70.4pt;height:30.65pt" o:ole="">
            <v:imagedata r:id="rId14" o:title=""/>
          </v:shape>
          <o:OLEObject Type="Embed" ProgID="Equation.DSMT4" ShapeID="_x0000_i1027" DrawAspect="Content" ObjectID="_1623824439" r:id="rId15"/>
        </w:object>
      </w:r>
      <w:r>
        <w:t xml:space="preserve">                                                       (3)</w:t>
      </w:r>
    </w:p>
    <w:p>
      <w:pPr>
        <w:spacing w:after="0" w:line="360" w:lineRule="auto"/>
        <w:ind w:firstLine="720"/>
        <w:jc w:val="both"/>
      </w:pPr>
      <w:r>
        <w:rPr>
          <w:position w:val="-24"/>
        </w:rPr>
        <w:object w:dxaOrig="1460" w:dyaOrig="620">
          <v:shape id="_x0000_i1028" type="#_x0000_t75" style="width:73.05pt;height:30.65pt" o:ole="">
            <v:imagedata r:id="rId16" o:title=""/>
          </v:shape>
          <o:OLEObject Type="Embed" ProgID="Equation.DSMT4" ShapeID="_x0000_i1028" DrawAspect="Content" ObjectID="_1623824440" r:id="rId17"/>
        </w:object>
      </w:r>
      <w:r>
        <w:t xml:space="preserve">                                                      (4)</w:t>
      </w:r>
    </w:p>
    <w:p>
      <w:pPr>
        <w:spacing w:after="0" w:line="360" w:lineRule="auto"/>
        <w:ind w:firstLine="720"/>
        <w:jc w:val="both"/>
        <w:rPr>
          <w:rFonts w:ascii="Cambria Math" w:eastAsia="MS Mincho" w:hAnsi="Cambria Math" w:cs="Times New Roman"/>
          <w:sz w:val="24"/>
          <w:szCs w:val="24"/>
          <w:lang w:val="en-US" w:eastAsia="ja-JP"/>
        </w:rPr>
      </w:pPr>
      <w:r>
        <w:rPr>
          <w:position w:val="-24"/>
        </w:rPr>
        <w:object w:dxaOrig="2600" w:dyaOrig="620">
          <v:shape id="_x0000_i1029" type="#_x0000_t75" style="width:130.05pt;height:30.65pt" o:ole="">
            <v:imagedata r:id="rId18" o:title=""/>
          </v:shape>
          <o:OLEObject Type="Embed" ProgID="Equation.DSMT4" ShapeID="_x0000_i1029" DrawAspect="Content" ObjectID="_1623824441" r:id="rId19"/>
        </w:object>
      </w:r>
      <w:r>
        <w:t xml:space="preserve">                               (5)</w:t>
      </w:r>
    </w:p>
    <w:p>
      <w:pPr>
        <w:spacing w:after="0" w:line="360" w:lineRule="auto"/>
        <w:jc w:val="both"/>
        <w:rPr>
          <w:rFonts w:ascii="Times New Roman" w:eastAsia="MS Mincho" w:hAnsi="Times New Roman" w:cs="Times New Roman"/>
          <w:sz w:val="24"/>
          <w:szCs w:val="24"/>
          <w:lang w:val="de-DE" w:eastAsia="ja-JP"/>
        </w:rPr>
      </w:pPr>
      <w:r>
        <w:tab/>
      </w:r>
      <w:r>
        <w:rPr>
          <w:position w:val="-4"/>
        </w:rPr>
        <w:object w:dxaOrig="180" w:dyaOrig="279">
          <v:shape id="_x0000_i1030" type="#_x0000_t75" style="width:9.15pt;height:14.5pt" o:ole="">
            <v:imagedata r:id="rId20" o:title=""/>
          </v:shape>
          <o:OLEObject Type="Embed" ProgID="Equation.DSMT4" ShapeID="_x0000_i1030" DrawAspect="Content" ObjectID="_1623824442" r:id="rId21"/>
        </w:object>
      </w:r>
      <w:r>
        <w:rPr>
          <w:rFonts w:ascii="Times New Roman" w:eastAsia="MS Mincho" w:hAnsi="Times New Roman" w:cs="Times New Roman"/>
          <w:sz w:val="24"/>
          <w:szCs w:val="24"/>
          <w:lang w:val="de-DE" w:eastAsia="ja-JP"/>
        </w:rPr>
        <w:t xml:space="preserve"> where: </w:t>
      </w:r>
      <m:oMath>
        <m:r>
          <w:rPr>
            <w:rFonts w:ascii="Cambria Math" w:eastAsia="MS Mincho" w:hAnsi="Cambria Math" w:cs="Times New Roman"/>
            <w:sz w:val="24"/>
            <w:szCs w:val="24"/>
            <w:lang w:val="de-DE" w:eastAsia="ja-JP"/>
          </w:rPr>
          <m:t>TP</m:t>
        </m:r>
      </m:oMath>
      <w:r>
        <w:rPr>
          <w:rFonts w:ascii="Times New Roman" w:eastAsia="MS Mincho" w:hAnsi="Times New Roman" w:cs="Times New Roman"/>
          <w:sz w:val="24"/>
          <w:szCs w:val="24"/>
          <w:lang w:val="de-DE" w:eastAsia="ja-JP"/>
        </w:rPr>
        <w:t xml:space="preserve"> indicates the correctly predicted actives; </w:t>
      </w:r>
      <m:oMath>
        <m:r>
          <w:rPr>
            <w:rFonts w:ascii="Cambria Math" w:eastAsia="MS Mincho" w:hAnsi="Cambria Math" w:cs="Times New Roman"/>
            <w:sz w:val="24"/>
            <w:szCs w:val="24"/>
            <w:lang w:val="de-DE" w:eastAsia="ja-JP"/>
          </w:rPr>
          <m:t>FN</m:t>
        </m:r>
      </m:oMath>
      <w:r>
        <w:rPr>
          <w:rFonts w:ascii="Times New Roman" w:eastAsia="MS Mincho" w:hAnsi="Times New Roman" w:cs="Times New Roman"/>
          <w:sz w:val="24"/>
          <w:szCs w:val="24"/>
          <w:lang w:val="de-DE" w:eastAsia="ja-JP"/>
        </w:rPr>
        <w:t xml:space="preserve"> designates the incorrectly identified inactives; </w:t>
      </w:r>
      <w:r>
        <w:rPr>
          <w:rFonts w:ascii="Times New Roman" w:eastAsia="MS Mincho" w:hAnsi="Times New Roman" w:cs="Times New Roman"/>
          <w:i/>
          <w:sz w:val="24"/>
          <w:szCs w:val="24"/>
          <w:lang w:val="de-DE" w:eastAsia="ja-JP"/>
        </w:rPr>
        <w:t>FPR</w:t>
      </w:r>
      <w:r>
        <w:rPr>
          <w:rFonts w:ascii="Times New Roman" w:eastAsia="MS Mincho" w:hAnsi="Times New Roman" w:cs="Times New Roman"/>
          <w:sz w:val="24"/>
          <w:szCs w:val="24"/>
          <w:lang w:val="de-DE" w:eastAsia="ja-JP"/>
        </w:rPr>
        <w:t xml:space="preserve"> </w:t>
      </w:r>
      <w:r>
        <w:rPr>
          <w:rFonts w:ascii="Times New Roman" w:eastAsia="MS Mincho" w:hAnsi="Times New Roman" w:cs="Times New Roman"/>
          <w:i/>
          <w:sz w:val="24"/>
          <w:szCs w:val="24"/>
          <w:lang w:val="de-DE" w:eastAsia="ja-JP"/>
        </w:rPr>
        <w:t>is false positive rate; TN</w:t>
      </w:r>
      <w:r>
        <w:rPr>
          <w:rFonts w:ascii="Times New Roman" w:eastAsia="MS Mincho" w:hAnsi="Times New Roman" w:cs="Times New Roman"/>
          <w:sz w:val="24"/>
          <w:szCs w:val="24"/>
          <w:lang w:val="de-DE" w:eastAsia="ja-JP"/>
        </w:rPr>
        <w:t xml:space="preserve"> represents the correctly predicted inactives or negatives, and</w:t>
      </w:r>
      <w:r>
        <w:rPr>
          <w:rFonts w:ascii="Times New Roman" w:eastAsia="MS Mincho" w:hAnsi="Times New Roman" w:cs="Times New Roman"/>
          <w:i/>
          <w:sz w:val="24"/>
          <w:szCs w:val="24"/>
          <w:lang w:val="de-DE" w:eastAsia="ja-JP"/>
        </w:rPr>
        <w:t xml:space="preserve"> FP</w:t>
      </w:r>
      <w:r>
        <w:rPr>
          <w:rFonts w:ascii="Times New Roman" w:eastAsia="MS Mincho" w:hAnsi="Times New Roman" w:cs="Times New Roman"/>
          <w:sz w:val="24"/>
          <w:szCs w:val="24"/>
          <w:lang w:val="de-DE" w:eastAsia="ja-JP"/>
        </w:rPr>
        <w:t xml:space="preserve"> denotes the incorrectly predicted actives or positives.</w:t>
      </w:r>
    </w:p>
    <w:p>
      <w:pPr>
        <w:autoSpaceDE w:val="0"/>
        <w:autoSpaceDN w:val="0"/>
        <w:adjustRightInd w:val="0"/>
        <w:spacing w:after="0" w:line="360" w:lineRule="auto"/>
        <w:jc w:val="both"/>
        <w:rPr>
          <w:rFonts w:ascii="Times New Roman" w:eastAsia="MS Mincho" w:hAnsi="Times New Roman" w:cs="Times New Roman"/>
          <w:sz w:val="24"/>
          <w:szCs w:val="24"/>
          <w:lang w:val="de-DE" w:eastAsia="ja-JP"/>
        </w:rPr>
      </w:pPr>
    </w:p>
    <w:p>
      <w:pPr>
        <w:spacing w:after="0" w:line="360" w:lineRule="auto"/>
        <w:jc w:val="both"/>
        <w:rPr>
          <w:rFonts w:ascii="Times New Roman" w:hAnsi="Times New Roman" w:cs="Times New Roman"/>
          <w:sz w:val="24"/>
          <w:szCs w:val="24"/>
          <w:lang w:val="en-US"/>
        </w:rPr>
      </w:pPr>
      <w:r>
        <w:rPr>
          <w:rFonts w:ascii="Times New Roman" w:eastAsia="MS Mincho" w:hAnsi="Times New Roman" w:cs="Times New Roman"/>
          <w:sz w:val="24"/>
          <w:szCs w:val="24"/>
          <w:lang w:val="de-DE" w:eastAsia="ja-JP"/>
        </w:rPr>
        <w:t xml:space="preserve">AUC parameter is used to evaluate the </w:t>
      </w:r>
      <w:r>
        <w:rPr>
          <w:rFonts w:ascii="Times New Roman" w:eastAsia="MS Mincho" w:hAnsi="Times New Roman" w:cs="Times New Roman"/>
          <w:noProof/>
          <w:sz w:val="24"/>
          <w:szCs w:val="24"/>
          <w:lang w:val="de-DE" w:eastAsia="ja-JP"/>
        </w:rPr>
        <w:t>models</w:t>
      </w:r>
      <w:r>
        <w:rPr>
          <w:rFonts w:ascii="Times New Roman" w:eastAsia="MS Mincho" w:hAnsi="Times New Roman" w:cs="Times New Roman"/>
          <w:sz w:val="24"/>
          <w:szCs w:val="24"/>
          <w:lang w:val="de-DE" w:eastAsia="ja-JP"/>
        </w:rPr>
        <w:t xml:space="preserve"> performance in classification, to discriminate actives from </w:t>
      </w:r>
      <w:r>
        <w:rPr>
          <w:rFonts w:ascii="Times New Roman" w:eastAsia="MS Mincho" w:hAnsi="Times New Roman" w:cs="Times New Roman"/>
          <w:noProof/>
          <w:sz w:val="24"/>
          <w:szCs w:val="24"/>
          <w:lang w:val="de-DE" w:eastAsia="ja-JP"/>
        </w:rPr>
        <w:t>inactives</w:t>
      </w:r>
      <w:r>
        <w:rPr>
          <w:rFonts w:ascii="Times New Roman" w:eastAsia="MS Mincho" w:hAnsi="Times New Roman" w:cs="Times New Roman"/>
          <w:sz w:val="24"/>
          <w:szCs w:val="24"/>
          <w:lang w:val="de-DE" w:eastAsia="ja-JP"/>
        </w:rPr>
        <w:t xml:space="preserve"> and it takes values in the range 0 to 1. The closer AUC value is to 1 the better a model discerns true positive from false positive results</w:t>
      </w:r>
      <w:r>
        <w:rPr>
          <w:rFonts w:ascii="Times New Roman" w:eastAsia="MS Mincho" w:hAnsi="Times New Roman" w:cs="Times New Roman"/>
          <w:sz w:val="24"/>
          <w:szCs w:val="24"/>
          <w:vertAlign w:val="superscript"/>
          <w:lang w:val="de-DE" w:eastAsia="ja-JP"/>
        </w:rPr>
        <w:t>28</w:t>
      </w:r>
      <w:r>
        <w:rPr>
          <w:rFonts w:ascii="Times New Roman" w:eastAsia="MS Mincho" w:hAnsi="Times New Roman" w:cs="Times New Roman"/>
          <w:sz w:val="24"/>
          <w:szCs w:val="24"/>
          <w:lang w:val="de-DE" w:eastAsia="ja-JP"/>
        </w:rPr>
        <w:t xml:space="preserve">. BEDROC can be considered as a “virtual screening usefulness scale” while ROC assesses “improvement over random scale”. The difference between the two aforementioned evaluation parameters is </w:t>
      </w:r>
      <w:r>
        <w:rPr>
          <w:rFonts w:ascii="Times New Roman" w:eastAsia="MS Mincho" w:hAnsi="Times New Roman" w:cs="Times New Roman"/>
          <w:noProof/>
          <w:sz w:val="24"/>
          <w:szCs w:val="24"/>
          <w:lang w:val="de-DE" w:eastAsia="ja-JP"/>
        </w:rPr>
        <w:t>that</w:t>
      </w:r>
      <w:r>
        <w:rPr>
          <w:rFonts w:ascii="Times New Roman" w:eastAsia="MS Mincho" w:hAnsi="Times New Roman" w:cs="Times New Roman"/>
          <w:sz w:val="24"/>
          <w:szCs w:val="24"/>
          <w:lang w:val="de-DE" w:eastAsia="ja-JP"/>
        </w:rPr>
        <w:t xml:space="preserve"> ROC relates to a uniform distribution and BEDROC refers to an exponential distribution</w:t>
      </w:r>
      <w:r>
        <w:rPr>
          <w:rFonts w:ascii="Times New Roman" w:eastAsia="MS Mincho" w:hAnsi="Times New Roman" w:cs="Times New Roman"/>
          <w:sz w:val="24"/>
          <w:szCs w:val="24"/>
          <w:vertAlign w:val="superscript"/>
          <w:lang w:val="de-DE" w:eastAsia="ja-JP"/>
        </w:rPr>
        <w:t>29</w:t>
      </w:r>
      <w:r>
        <w:rPr>
          <w:rFonts w:ascii="Times New Roman" w:eastAsia="MS Mincho" w:hAnsi="Times New Roman" w:cs="Times New Roman"/>
          <w:sz w:val="24"/>
          <w:szCs w:val="24"/>
          <w:lang w:val="de-DE" w:eastAsia="ja-JP"/>
        </w:rPr>
        <w:t xml:space="preserve">. For imbalance </w:t>
      </w:r>
      <w:r>
        <w:rPr>
          <w:rFonts w:ascii="Times New Roman" w:eastAsia="MS Mincho" w:hAnsi="Times New Roman" w:cs="Times New Roman"/>
          <w:noProof/>
          <w:sz w:val="24"/>
          <w:szCs w:val="24"/>
          <w:lang w:val="de-DE" w:eastAsia="ja-JP"/>
        </w:rPr>
        <w:t xml:space="preserve">class when </w:t>
      </w:r>
      <w:r>
        <w:rPr>
          <w:rFonts w:ascii="Times New Roman" w:eastAsia="MS Mincho" w:hAnsi="Times New Roman" w:cs="Times New Roman"/>
          <w:color w:val="000000"/>
          <w:sz w:val="24"/>
          <w:szCs w:val="24"/>
          <w:lang w:eastAsia="en-GB"/>
        </w:rPr>
        <w:t xml:space="preserve">the number of actives is lower than a </w:t>
      </w:r>
      <w:r>
        <w:rPr>
          <w:rFonts w:ascii="Times New Roman" w:eastAsia="MS Mincho" w:hAnsi="Times New Roman" w:cs="Times New Roman"/>
          <w:noProof/>
          <w:color w:val="000000"/>
          <w:sz w:val="24"/>
          <w:szCs w:val="24"/>
          <w:lang w:eastAsia="en-GB"/>
        </w:rPr>
        <w:t>number</w:t>
      </w:r>
      <w:r>
        <w:rPr>
          <w:rFonts w:ascii="Times New Roman" w:eastAsia="MS Mincho" w:hAnsi="Times New Roman" w:cs="Times New Roman"/>
          <w:color w:val="000000"/>
          <w:sz w:val="24"/>
          <w:szCs w:val="24"/>
          <w:lang w:eastAsia="en-GB"/>
        </w:rPr>
        <w:t xml:space="preserve"> of </w:t>
      </w:r>
      <w:r>
        <w:rPr>
          <w:rFonts w:ascii="Times New Roman" w:eastAsia="MS Mincho" w:hAnsi="Times New Roman" w:cs="Times New Roman"/>
          <w:noProof/>
          <w:color w:val="000000"/>
          <w:sz w:val="24"/>
          <w:szCs w:val="24"/>
          <w:lang w:eastAsia="en-GB"/>
        </w:rPr>
        <w:t>inactives</w:t>
      </w:r>
      <w:r>
        <w:rPr>
          <w:rFonts w:ascii="Times New Roman" w:eastAsia="MS Mincho" w:hAnsi="Times New Roman" w:cs="Times New Roman"/>
          <w:noProof/>
          <w:sz w:val="24"/>
          <w:szCs w:val="24"/>
          <w:lang w:val="de-DE" w:eastAsia="ja-JP"/>
        </w:rPr>
        <w:t>,</w:t>
      </w:r>
      <w:r>
        <w:rPr>
          <w:rFonts w:ascii="Times New Roman" w:eastAsia="MS Mincho" w:hAnsi="Times New Roman" w:cs="Times New Roman"/>
          <w:sz w:val="24"/>
          <w:szCs w:val="24"/>
          <w:lang w:val="de-DE" w:eastAsia="ja-JP"/>
        </w:rPr>
        <w:t xml:space="preserve"> the precision parameter was replaced with </w:t>
      </w:r>
      <w:r>
        <w:rPr>
          <w:rFonts w:ascii="Times New Roman" w:eastAsia="MS Mincho" w:hAnsi="Times New Roman" w:cs="Times New Roman"/>
          <w:color w:val="000000"/>
          <w:sz w:val="24"/>
          <w:szCs w:val="24"/>
          <w:lang w:eastAsia="en-GB"/>
        </w:rPr>
        <w:t>weighted average precision</w:t>
      </w:r>
      <w:r>
        <w:rPr>
          <w:rFonts w:ascii="Times New Roman" w:eastAsia="MS Mincho" w:hAnsi="Times New Roman" w:cs="Times New Roman"/>
          <w:color w:val="000000"/>
          <w:sz w:val="24"/>
          <w:szCs w:val="24"/>
          <w:vertAlign w:val="superscript"/>
          <w:lang w:eastAsia="en-GB"/>
        </w:rPr>
        <w:t>33</w:t>
      </w:r>
      <w:r>
        <w:rPr>
          <w:rFonts w:ascii="Times New Roman" w:eastAsia="MS Mincho" w:hAnsi="Times New Roman" w:cs="Times New Roman"/>
          <w:color w:val="000000"/>
          <w:sz w:val="24"/>
          <w:szCs w:val="24"/>
          <w:lang w:eastAsia="en-GB"/>
        </w:rPr>
        <w:t>.</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eastAsia="MS Mincho" w:hAnsi="Times New Roman" w:cs="Times New Roman"/>
          <w:i/>
          <w:sz w:val="24"/>
          <w:szCs w:val="24"/>
          <w:lang w:val="en-US" w:eastAsia="ja-JP"/>
        </w:rPr>
      </w:pPr>
      <w:r>
        <w:rPr>
          <w:rFonts w:ascii="Times New Roman" w:eastAsia="MS Mincho" w:hAnsi="Times New Roman" w:cs="Times New Roman"/>
          <w:i/>
          <w:sz w:val="24"/>
          <w:szCs w:val="24"/>
          <w:lang w:val="en-US" w:eastAsia="ja-JP"/>
        </w:rPr>
        <w:t xml:space="preserve">Docking simulations protocol. </w:t>
      </w:r>
    </w:p>
    <w:p>
      <w:pPr>
        <w:spacing w:after="0" w:line="36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The best resolution X-ray structure of SMO receptor was extracted from PDB (PDB ID: 4jkv) and prepared for docking studies with the Protein Preparation Wizard module from </w:t>
      </w:r>
      <w:r>
        <w:rPr>
          <w:rFonts w:ascii="Times New Roman" w:hAnsi="Times New Roman" w:cs="Times New Roman"/>
          <w:sz w:val="24"/>
          <w:szCs w:val="24"/>
        </w:rPr>
        <w:t>Schrödinger suite</w:t>
      </w:r>
      <w:r>
        <w:rPr>
          <w:rFonts w:ascii="Times New Roman" w:eastAsia="MS Mincho" w:hAnsi="Times New Roman" w:cs="Times New Roman"/>
          <w:sz w:val="24"/>
          <w:szCs w:val="24"/>
          <w:lang w:val="en-US" w:eastAsia="ja-JP"/>
        </w:rPr>
        <w:t xml:space="preserve">. Briefly, the following steps were employed: the bond orders were assigned; the Chemical Components Dictionary (CCD) database was used; hydrogens were added; create </w:t>
      </w:r>
      <w:r>
        <w:rPr>
          <w:rFonts w:ascii="Times New Roman" w:eastAsia="MS Mincho" w:hAnsi="Times New Roman" w:cs="Times New Roman"/>
          <w:noProof/>
          <w:sz w:val="24"/>
          <w:szCs w:val="24"/>
          <w:lang w:val="en-US" w:eastAsia="ja-JP"/>
        </w:rPr>
        <w:t>zero-order</w:t>
      </w:r>
      <w:r>
        <w:rPr>
          <w:rFonts w:ascii="Times New Roman" w:eastAsia="MS Mincho" w:hAnsi="Times New Roman" w:cs="Times New Roman"/>
          <w:sz w:val="24"/>
          <w:szCs w:val="24"/>
          <w:lang w:val="en-US" w:eastAsia="ja-JP"/>
        </w:rPr>
        <w:t xml:space="preserve"> bonds to metals parameter was selected; </w:t>
      </w:r>
      <w:r>
        <w:rPr>
          <w:rFonts w:ascii="Times New Roman" w:eastAsia="MS Mincho" w:hAnsi="Times New Roman" w:cs="Times New Roman"/>
          <w:noProof/>
          <w:sz w:val="24"/>
          <w:szCs w:val="24"/>
          <w:lang w:val="en-US" w:eastAsia="ja-JP"/>
        </w:rPr>
        <w:t>disulfide</w:t>
      </w:r>
      <w:r>
        <w:rPr>
          <w:rFonts w:ascii="Times New Roman" w:eastAsia="MS Mincho" w:hAnsi="Times New Roman" w:cs="Times New Roman"/>
          <w:sz w:val="24"/>
          <w:szCs w:val="24"/>
          <w:lang w:val="en-US" w:eastAsia="ja-JP"/>
        </w:rPr>
        <w:t xml:space="preserve"> bonds were created; waters beyond 5Å were deleted and missing side-chains were added to the protein. The proper ionization state of the co-crystallized ligand, (LY2940680), at physiological pH of 7.0-7.4 was generated and the H-bond assignment was performed using PROPKA module, setting the pH to 7.0. Finally, the protein was energetically minimized with </w:t>
      </w:r>
      <w:r>
        <w:rPr>
          <w:rFonts w:ascii="Times New Roman" w:eastAsia="MS Mincho" w:hAnsi="Times New Roman" w:cs="Times New Roman"/>
          <w:noProof/>
          <w:sz w:val="24"/>
          <w:szCs w:val="24"/>
          <w:lang w:val="en-US" w:eastAsia="ja-JP"/>
        </w:rPr>
        <w:t>OPLS_2005</w:t>
      </w:r>
      <w:r>
        <w:rPr>
          <w:rFonts w:ascii="Times New Roman" w:eastAsia="MS Mincho" w:hAnsi="Times New Roman" w:cs="Times New Roman"/>
          <w:sz w:val="24"/>
          <w:szCs w:val="24"/>
          <w:lang w:val="en-US" w:eastAsia="ja-JP"/>
        </w:rPr>
        <w:t xml:space="preserve"> force field until </w:t>
      </w:r>
      <w:r>
        <w:rPr>
          <w:rFonts w:ascii="Times New Roman" w:eastAsia="MS Mincho" w:hAnsi="Times New Roman" w:cs="Times New Roman"/>
          <w:noProof/>
          <w:sz w:val="24"/>
          <w:szCs w:val="24"/>
          <w:lang w:val="en-US" w:eastAsia="ja-JP"/>
        </w:rPr>
        <w:t>an RMSD</w:t>
      </w:r>
      <w:r>
        <w:rPr>
          <w:rFonts w:ascii="Times New Roman" w:eastAsia="MS Mincho" w:hAnsi="Times New Roman" w:cs="Times New Roman"/>
          <w:sz w:val="24"/>
          <w:szCs w:val="24"/>
          <w:lang w:val="en-US" w:eastAsia="ja-JP"/>
        </w:rPr>
        <w:t xml:space="preserve"> of 0.3 Å for heavy atoms was reached.  </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A molecular docking study </w:t>
      </w:r>
      <w:proofErr w:type="gramStart"/>
      <w:r>
        <w:rPr>
          <w:rFonts w:ascii="Times New Roman" w:eastAsia="MS Mincho" w:hAnsi="Times New Roman" w:cs="Times New Roman"/>
          <w:sz w:val="24"/>
          <w:szCs w:val="24"/>
          <w:lang w:val="en-US" w:eastAsia="ja-JP"/>
        </w:rPr>
        <w:t>was carried out</w:t>
      </w:r>
      <w:proofErr w:type="gramEnd"/>
      <w:r>
        <w:rPr>
          <w:rFonts w:ascii="Times New Roman" w:eastAsia="MS Mincho" w:hAnsi="Times New Roman" w:cs="Times New Roman"/>
          <w:sz w:val="24"/>
          <w:szCs w:val="24"/>
          <w:lang w:val="en-US" w:eastAsia="ja-JP"/>
        </w:rPr>
        <w:t xml:space="preserve"> with Glide</w:t>
      </w:r>
      <w:r>
        <w:rPr>
          <w:rFonts w:ascii="Times New Roman" w:eastAsia="MS Mincho" w:hAnsi="Times New Roman" w:cs="Times New Roman"/>
          <w:color w:val="FF0000"/>
          <w:sz w:val="24"/>
          <w:szCs w:val="24"/>
          <w:vertAlign w:val="superscript"/>
          <w:lang w:val="en-US" w:eastAsia="ja-JP"/>
        </w:rPr>
        <w:t>23</w:t>
      </w:r>
      <w:r>
        <w:rPr>
          <w:rFonts w:ascii="Times New Roman" w:eastAsia="MS Mincho" w:hAnsi="Times New Roman" w:cs="Times New Roman"/>
          <w:sz w:val="24"/>
          <w:szCs w:val="24"/>
          <w:lang w:val="en-US" w:eastAsia="ja-JP"/>
        </w:rPr>
        <w:t xml:space="preserve"> and Induced Fit</w:t>
      </w:r>
      <w:r>
        <w:rPr>
          <w:rFonts w:ascii="Times New Roman" w:eastAsia="MS Mincho" w:hAnsi="Times New Roman" w:cs="Times New Roman"/>
          <w:color w:val="FF0000"/>
          <w:sz w:val="24"/>
          <w:szCs w:val="24"/>
          <w:vertAlign w:val="superscript"/>
          <w:lang w:val="en-US" w:eastAsia="ja-JP"/>
        </w:rPr>
        <w:t>24</w:t>
      </w:r>
      <w:r>
        <w:rPr>
          <w:rFonts w:ascii="Times New Roman" w:eastAsia="MS Mincho" w:hAnsi="Times New Roman" w:cs="Times New Roman"/>
          <w:sz w:val="24"/>
          <w:szCs w:val="24"/>
          <w:lang w:val="en-US" w:eastAsia="ja-JP"/>
        </w:rPr>
        <w:t xml:space="preserve"> protocol included in Schrödinger suite. Glide module</w:t>
      </w:r>
      <w:r>
        <w:rPr>
          <w:rFonts w:ascii="Times New Roman" w:eastAsia="MS Mincho" w:hAnsi="Times New Roman" w:cs="Times New Roman"/>
          <w:color w:val="FF0000"/>
          <w:sz w:val="24"/>
          <w:szCs w:val="24"/>
          <w:vertAlign w:val="superscript"/>
          <w:lang w:val="en-US" w:eastAsia="ja-JP"/>
        </w:rPr>
        <w:t>23</w:t>
      </w:r>
      <w:r>
        <w:rPr>
          <w:rFonts w:ascii="Times New Roman" w:eastAsia="MS Mincho" w:hAnsi="Times New Roman" w:cs="Times New Roman"/>
          <w:sz w:val="24"/>
          <w:szCs w:val="24"/>
          <w:lang w:val="en-US" w:eastAsia="ja-JP"/>
        </w:rPr>
        <w:t xml:space="preserve"> was used in standard precision (SP) mode with default settings, i.e. scaling factor of 0.8, partial charge cut-off of 0.15 and only the flexibility of ligands was considered. Induced Fit docking protocol</w:t>
      </w:r>
      <w:r>
        <w:rPr>
          <w:rFonts w:ascii="Times New Roman" w:eastAsia="MS Mincho" w:hAnsi="Times New Roman" w:cs="Times New Roman"/>
          <w:color w:val="FF0000"/>
          <w:sz w:val="24"/>
          <w:szCs w:val="24"/>
          <w:vertAlign w:val="superscript"/>
          <w:lang w:val="en-US" w:eastAsia="ja-JP"/>
        </w:rPr>
        <w:t>24</w:t>
      </w:r>
      <w:r>
        <w:rPr>
          <w:rFonts w:ascii="Times New Roman" w:eastAsia="MS Mincho" w:hAnsi="Times New Roman" w:cs="Times New Roman"/>
          <w:sz w:val="24"/>
          <w:szCs w:val="24"/>
          <w:lang w:val="en-US" w:eastAsia="ja-JP"/>
        </w:rPr>
        <w:t xml:space="preserve"> accounts also for protein flexibility and it was carried out with the following settings:  SP option, receptor and ligand van der Waals scaling of 0.50.</w:t>
      </w:r>
    </w:p>
    <w:p>
      <w:pPr>
        <w:spacing w:after="0" w:line="360" w:lineRule="auto"/>
        <w:jc w:val="both"/>
        <w:rPr>
          <w:rFonts w:ascii="Times New Roman" w:eastAsia="MS Mincho" w:hAnsi="Times New Roman" w:cs="Times New Roman"/>
          <w:sz w:val="24"/>
          <w:szCs w:val="24"/>
          <w:lang w:val="en-US" w:eastAsia="ja-JP"/>
        </w:rPr>
      </w:pPr>
    </w:p>
    <w:p>
      <w:pPr>
        <w:spacing w:after="0" w:line="36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RESULTS AND DISCUSSION</w:t>
      </w: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noProof/>
          <w:sz w:val="24"/>
          <w:szCs w:val="24"/>
          <w:lang w:val="en-US" w:eastAsia="ja-JP"/>
        </w:rPr>
        <w:lastRenderedPageBreak/>
        <w:t>Analysing</w:t>
      </w:r>
      <w:r>
        <w:rPr>
          <w:rFonts w:ascii="Times New Roman" w:eastAsia="MS Mincho" w:hAnsi="Times New Roman" w:cs="Times New Roman"/>
          <w:sz w:val="24"/>
          <w:szCs w:val="24"/>
          <w:lang w:val="en-US" w:eastAsia="ja-JP"/>
        </w:rPr>
        <w:t xml:space="preserve"> the results generated by Phase</w:t>
      </w:r>
      <w:r>
        <w:rPr>
          <w:rFonts w:ascii="Times New Roman" w:eastAsia="MS Mincho" w:hAnsi="Times New Roman" w:cs="Times New Roman"/>
          <w:color w:val="FF0000"/>
          <w:sz w:val="24"/>
          <w:szCs w:val="24"/>
          <w:vertAlign w:val="superscript"/>
          <w:lang w:val="en-US" w:eastAsia="ja-JP"/>
        </w:rPr>
        <w:t>22</w:t>
      </w:r>
      <w:r>
        <w:rPr>
          <w:rFonts w:ascii="Times New Roman" w:eastAsia="MS Mincho" w:hAnsi="Times New Roman" w:cs="Times New Roman"/>
          <w:sz w:val="24"/>
          <w:szCs w:val="24"/>
          <w:lang w:val="en-US" w:eastAsia="ja-JP"/>
        </w:rPr>
        <w:t xml:space="preserve">, 22 categories of four features common pharmacophore hypotheses (CPH) were identified. CPH include the </w:t>
      </w:r>
      <w:r>
        <w:rPr>
          <w:rFonts w:ascii="Times New Roman" w:eastAsia="MS Mincho" w:hAnsi="Times New Roman" w:cs="Times New Roman"/>
          <w:noProof/>
          <w:sz w:val="24"/>
          <w:szCs w:val="24"/>
          <w:lang w:val="en-US" w:eastAsia="ja-JP"/>
        </w:rPr>
        <w:t>same</w:t>
      </w:r>
      <w:r>
        <w:rPr>
          <w:rFonts w:ascii="Times New Roman" w:eastAsia="MS Mincho" w:hAnsi="Times New Roman" w:cs="Times New Roman"/>
          <w:sz w:val="24"/>
          <w:szCs w:val="24"/>
          <w:lang w:val="en-US" w:eastAsia="ja-JP"/>
        </w:rPr>
        <w:t xml:space="preserve"> features placed together in similar spatial arrangements. All hypotheses received a good survival score (values &gt; 3) and were subjected to QSAR models development. A QSAR model is reliable if a number of statistical parameters meet certain condition as follow: R</w:t>
      </w:r>
      <w:r>
        <w:rPr>
          <w:rFonts w:ascii="Times New Roman" w:eastAsia="MS Mincho" w:hAnsi="Times New Roman" w:cs="Times New Roman"/>
          <w:sz w:val="24"/>
          <w:szCs w:val="24"/>
          <w:vertAlign w:val="superscript"/>
          <w:lang w:val="en-US" w:eastAsia="ja-JP"/>
        </w:rPr>
        <w:t>2</w:t>
      </w:r>
      <w:r>
        <w:rPr>
          <w:rFonts w:ascii="Times New Roman" w:eastAsia="MS Mincho" w:hAnsi="Times New Roman" w:cs="Times New Roman"/>
          <w:sz w:val="24"/>
          <w:szCs w:val="24"/>
          <w:lang w:val="en-US" w:eastAsia="ja-JP"/>
        </w:rPr>
        <w:t xml:space="preserve"> (squared correlation coefficients for the training set) &gt; 0.6; Q</w:t>
      </w:r>
      <w:r>
        <w:rPr>
          <w:rFonts w:ascii="Times New Roman" w:eastAsia="MS Mincho" w:hAnsi="Times New Roman" w:cs="Times New Roman"/>
          <w:sz w:val="24"/>
          <w:szCs w:val="24"/>
          <w:vertAlign w:val="superscript"/>
          <w:lang w:val="en-US" w:eastAsia="ja-JP"/>
        </w:rPr>
        <w:t>2</w:t>
      </w:r>
      <w:r>
        <w:rPr>
          <w:rFonts w:ascii="Times New Roman" w:eastAsia="MS Mincho" w:hAnsi="Times New Roman" w:cs="Times New Roman"/>
          <w:sz w:val="24"/>
          <w:szCs w:val="24"/>
          <w:lang w:val="en-US" w:eastAsia="ja-JP"/>
        </w:rPr>
        <w:t xml:space="preserve"> (squared correlation coefficients for the test set) &gt; 0.5</w:t>
      </w:r>
      <w:r>
        <w:rPr>
          <w:rFonts w:ascii="Times New Roman" w:eastAsia="MS Mincho" w:hAnsi="Times New Roman" w:cs="Times New Roman"/>
          <w:color w:val="FF0000"/>
          <w:sz w:val="24"/>
          <w:szCs w:val="24"/>
          <w:vertAlign w:val="superscript"/>
          <w:lang w:val="en-US" w:eastAsia="ja-JP"/>
        </w:rPr>
        <w:t>26</w:t>
      </w:r>
      <w:r>
        <w:rPr>
          <w:rFonts w:ascii="Times New Roman" w:eastAsia="MS Mincho" w:hAnsi="Times New Roman" w:cs="Times New Roman"/>
          <w:sz w:val="24"/>
          <w:szCs w:val="24"/>
          <w:lang w:val="en-US" w:eastAsia="ja-JP"/>
        </w:rPr>
        <w:t>; Pearson-R (correlation between the predicted and observed activity for the test set) &gt; 0.5; p (</w:t>
      </w:r>
      <w:r>
        <w:rPr>
          <w:rFonts w:ascii="Times New Roman" w:hAnsi="Times New Roman" w:cs="Times New Roman"/>
          <w:sz w:val="24"/>
          <w:szCs w:val="24"/>
        </w:rPr>
        <w:t>the significance level of variance ratio) &lt; 0.05;</w:t>
      </w:r>
      <w:r>
        <w:rPr>
          <w:rFonts w:ascii="Times New Roman" w:eastAsia="MS Mincho" w:hAnsi="Times New Roman" w:cs="Times New Roman"/>
          <w:sz w:val="24"/>
          <w:szCs w:val="24"/>
          <w:lang w:val="en-US" w:eastAsia="ja-JP"/>
        </w:rPr>
        <w:t xml:space="preserve"> SD (standard deviation) and RMSE (root mean square error) should have low values, while F (variance ratio) should have high value</w:t>
      </w:r>
      <w:r>
        <w:rPr>
          <w:rFonts w:ascii="Times New Roman" w:eastAsia="MS Mincho" w:hAnsi="Times New Roman" w:cs="Times New Roman"/>
          <w:color w:val="FF0000"/>
          <w:sz w:val="24"/>
          <w:szCs w:val="24"/>
          <w:vertAlign w:val="superscript"/>
          <w:lang w:val="en-US" w:eastAsia="ja-JP"/>
        </w:rPr>
        <w:t>22</w:t>
      </w:r>
      <w:r>
        <w:rPr>
          <w:rFonts w:ascii="Times New Roman" w:eastAsia="MS Mincho" w:hAnsi="Times New Roman" w:cs="Times New Roman"/>
          <w:sz w:val="24"/>
          <w:szCs w:val="24"/>
          <w:vertAlign w:val="superscript"/>
          <w:lang w:val="en-US" w:eastAsia="ja-JP"/>
        </w:rPr>
        <w:t xml:space="preserve">, </w:t>
      </w:r>
      <w:r>
        <w:rPr>
          <w:rFonts w:ascii="Times New Roman" w:eastAsia="MS Mincho" w:hAnsi="Times New Roman" w:cs="Times New Roman"/>
          <w:color w:val="FF0000"/>
          <w:sz w:val="24"/>
          <w:szCs w:val="24"/>
          <w:vertAlign w:val="superscript"/>
          <w:lang w:val="en-US" w:eastAsia="ja-JP"/>
        </w:rPr>
        <w:t>34</w:t>
      </w:r>
      <w:r>
        <w:rPr>
          <w:rFonts w:ascii="Times New Roman" w:eastAsia="MS Mincho" w:hAnsi="Times New Roman" w:cs="Times New Roman"/>
          <w:sz w:val="24"/>
          <w:szCs w:val="24"/>
          <w:lang w:val="en-US" w:eastAsia="ja-JP"/>
        </w:rPr>
        <w:t>. The best hypothesis named AAHR.524 with a survival score of 5.263 has statistical significant results (Table 1).</w:t>
      </w:r>
    </w:p>
    <w:p>
      <w:pPr>
        <w:spacing w:after="0" w:line="360" w:lineRule="auto"/>
        <w:jc w:val="center"/>
        <w:rPr>
          <w:rFonts w:ascii="Times New Roman" w:hAnsi="Times New Roman" w:cs="Times New Roman"/>
          <w:sz w:val="24"/>
          <w:szCs w:val="24"/>
        </w:rPr>
      </w:pPr>
      <w:r>
        <w:rPr>
          <w:rFonts w:ascii="Times New Roman" w:eastAsia="MS Mincho" w:hAnsi="Times New Roman" w:cs="Times New Roman"/>
          <w:b/>
          <w:sz w:val="24"/>
          <w:szCs w:val="24"/>
          <w:lang w:eastAsia="ja-JP"/>
        </w:rPr>
        <w:t>Table 1.</w:t>
      </w:r>
      <w:r>
        <w:rPr>
          <w:rFonts w:ascii="Times New Roman" w:eastAsia="MS Mincho" w:hAnsi="Times New Roman" w:cs="Times New Roman"/>
          <w:sz w:val="24"/>
          <w:szCs w:val="24"/>
          <w:lang w:eastAsia="ja-JP"/>
        </w:rPr>
        <w:t xml:space="preserve"> The statistical parameters for the AAHR.524 hypothesis obtained.</w:t>
      </w:r>
    </w:p>
    <w:tbl>
      <w:tblPr>
        <w:tblW w:w="0" w:type="auto"/>
        <w:jc w:val="center"/>
        <w:tblLook w:val="01E0" w:firstRow="1" w:lastRow="1" w:firstColumn="1" w:lastColumn="1" w:noHBand="0" w:noVBand="0"/>
      </w:tblPr>
      <w:tblGrid>
        <w:gridCol w:w="1155"/>
        <w:gridCol w:w="666"/>
        <w:gridCol w:w="666"/>
        <w:gridCol w:w="955"/>
        <w:gridCol w:w="766"/>
        <w:gridCol w:w="761"/>
        <w:gridCol w:w="666"/>
        <w:gridCol w:w="1050"/>
      </w:tblGrid>
      <w:tr>
        <w:trPr>
          <w:jc w:val="center"/>
        </w:trPr>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PLS factors</w:t>
            </w:r>
          </w:p>
        </w:tc>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SD</w:t>
            </w:r>
          </w:p>
        </w:tc>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R</w:t>
            </w:r>
            <w:r>
              <w:rPr>
                <w:rFonts w:ascii="Times New Roman" w:eastAsia="MS Mincho" w:hAnsi="Times New Roman" w:cs="Times New Roman"/>
                <w:sz w:val="20"/>
                <w:szCs w:val="20"/>
                <w:vertAlign w:val="superscript"/>
                <w:lang w:eastAsia="ja-JP"/>
              </w:rPr>
              <w:t>2</w:t>
            </w:r>
          </w:p>
        </w:tc>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p</w:t>
            </w:r>
          </w:p>
        </w:tc>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F</w:t>
            </w:r>
          </w:p>
        </w:tc>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RMSE</w:t>
            </w:r>
          </w:p>
        </w:tc>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Q</w:t>
            </w:r>
            <w:r>
              <w:rPr>
                <w:rFonts w:ascii="Times New Roman" w:eastAsia="MS Mincho" w:hAnsi="Times New Roman" w:cs="Times New Roman"/>
                <w:sz w:val="20"/>
                <w:szCs w:val="20"/>
                <w:vertAlign w:val="superscript"/>
                <w:lang w:eastAsia="ja-JP"/>
              </w:rPr>
              <w:t>2</w:t>
            </w:r>
          </w:p>
        </w:tc>
        <w:tc>
          <w:tcPr>
            <w:tcW w:w="0" w:type="auto"/>
            <w:tcBorders>
              <w:top w:val="single" w:sz="4" w:space="0" w:color="auto"/>
              <w:bottom w:val="single" w:sz="4" w:space="0" w:color="auto"/>
            </w:tcBorders>
          </w:tcPr>
          <w:p>
            <w:pPr>
              <w:spacing w:after="0" w:line="240" w:lineRule="auto"/>
              <w:jc w:val="both"/>
              <w:rPr>
                <w:rFonts w:ascii="Times New Roman" w:eastAsia="MS Mincho" w:hAnsi="Times New Roman" w:cs="Times New Roman"/>
                <w:sz w:val="20"/>
                <w:szCs w:val="20"/>
                <w:lang w:eastAsia="ja-JP"/>
              </w:rPr>
            </w:pPr>
            <w:r>
              <w:rPr>
                <w:rFonts w:ascii="Times New Roman" w:eastAsia="MS Mincho" w:hAnsi="Times New Roman" w:cs="Times New Roman"/>
                <w:sz w:val="20"/>
                <w:szCs w:val="20"/>
                <w:lang w:eastAsia="ja-JP"/>
              </w:rPr>
              <w:t>Pearson-R</w:t>
            </w:r>
          </w:p>
        </w:tc>
      </w:tr>
      <w:tr>
        <w:trPr>
          <w:jc w:val="center"/>
        </w:trPr>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1</w:t>
            </w:r>
          </w:p>
        </w:tc>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0.255</w:t>
            </w:r>
          </w:p>
        </w:tc>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0.601</w:t>
            </w:r>
          </w:p>
        </w:tc>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6.00E-05</w:t>
            </w:r>
          </w:p>
        </w:tc>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27.100</w:t>
            </w:r>
          </w:p>
        </w:tc>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0.308</w:t>
            </w:r>
          </w:p>
        </w:tc>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0.470</w:t>
            </w:r>
          </w:p>
        </w:tc>
        <w:tc>
          <w:tcPr>
            <w:tcW w:w="0" w:type="auto"/>
            <w:tcBorders>
              <w:top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0.760</w:t>
            </w:r>
          </w:p>
        </w:tc>
      </w:tr>
      <w:tr>
        <w:trPr>
          <w:jc w:val="center"/>
        </w:trPr>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2</w:t>
            </w:r>
          </w:p>
        </w:tc>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0.195</w:t>
            </w:r>
          </w:p>
        </w:tc>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0.779</w:t>
            </w:r>
          </w:p>
        </w:tc>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2.72E-06</w:t>
            </w:r>
          </w:p>
        </w:tc>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29.900</w:t>
            </w:r>
          </w:p>
        </w:tc>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0.303</w:t>
            </w:r>
          </w:p>
        </w:tc>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0.486</w:t>
            </w:r>
          </w:p>
        </w:tc>
        <w:tc>
          <w:tcPr>
            <w:tcW w:w="0" w:type="auto"/>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0.769</w:t>
            </w:r>
          </w:p>
        </w:tc>
      </w:tr>
      <w:tr>
        <w:trPr>
          <w:jc w:val="center"/>
        </w:trPr>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3</w:t>
            </w:r>
          </w:p>
        </w:tc>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0.161</w:t>
            </w:r>
          </w:p>
        </w:tc>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0.859</w:t>
            </w:r>
          </w:p>
        </w:tc>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4.90E-07</w:t>
            </w:r>
          </w:p>
        </w:tc>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32.500</w:t>
            </w:r>
          </w:p>
        </w:tc>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0.263</w:t>
            </w:r>
          </w:p>
        </w:tc>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0.611</w:t>
            </w:r>
          </w:p>
        </w:tc>
        <w:tc>
          <w:tcPr>
            <w:tcW w:w="0" w:type="auto"/>
            <w:tcBorders>
              <w:bottom w:val="single" w:sz="4" w:space="0" w:color="auto"/>
            </w:tcBorders>
            <w:vAlign w:val="bottom"/>
          </w:tcPr>
          <w:p>
            <w:pPr>
              <w:spacing w:after="0" w:line="240" w:lineRule="auto"/>
              <w:jc w:val="both"/>
              <w:rPr>
                <w:rFonts w:ascii="Times New Roman" w:eastAsia="MS Mincho" w:hAnsi="Times New Roman" w:cs="Times New Roman"/>
                <w:color w:val="000000"/>
                <w:sz w:val="20"/>
                <w:szCs w:val="20"/>
                <w:lang w:val="de-DE" w:eastAsia="ja-JP"/>
              </w:rPr>
            </w:pPr>
            <w:r>
              <w:rPr>
                <w:rFonts w:ascii="Times New Roman" w:eastAsia="MS Mincho" w:hAnsi="Times New Roman" w:cs="Times New Roman"/>
                <w:color w:val="000000"/>
                <w:sz w:val="20"/>
                <w:szCs w:val="20"/>
                <w:lang w:val="de-DE" w:eastAsia="ja-JP"/>
              </w:rPr>
              <w:t>0.817</w:t>
            </w:r>
          </w:p>
        </w:tc>
      </w:tr>
    </w:tbl>
    <w:p>
      <w:pPr>
        <w:spacing w:after="0" w:line="360" w:lineRule="auto"/>
        <w:jc w:val="both"/>
        <w:rPr>
          <w:rFonts w:ascii="Times New Roman" w:eastAsia="MS Mincho" w:hAnsi="Times New Roman" w:cs="Times New Roman"/>
          <w:sz w:val="24"/>
          <w:szCs w:val="24"/>
          <w:lang w:val="en-US" w:eastAsia="ja-JP"/>
        </w:rPr>
      </w:pPr>
    </w:p>
    <w:p>
      <w:pPr>
        <w:spacing w:after="0" w:line="360" w:lineRule="auto"/>
        <w:jc w:val="both"/>
        <w:rPr>
          <w:rFonts w:ascii="Times New Roman" w:eastAsia="MS Mincho" w:hAnsi="Times New Roman" w:cs="Times New Roman"/>
          <w:sz w:val="24"/>
          <w:szCs w:val="24"/>
          <w:lang w:val="de-DE" w:eastAsia="ja-JP"/>
        </w:rPr>
      </w:pPr>
      <w:r>
        <w:rPr>
          <w:rFonts w:ascii="Times New Roman" w:eastAsia="MS Mincho" w:hAnsi="Times New Roman" w:cs="Times New Roman"/>
          <w:sz w:val="24"/>
          <w:szCs w:val="24"/>
          <w:lang w:val="en-US" w:eastAsia="ja-JP"/>
        </w:rPr>
        <w:t xml:space="preserve">For AAHR.524 </w:t>
      </w:r>
      <w:proofErr w:type="gramStart"/>
      <w:r>
        <w:rPr>
          <w:rFonts w:ascii="Times New Roman" w:eastAsia="MS Mincho" w:hAnsi="Times New Roman" w:cs="Times New Roman"/>
          <w:sz w:val="24"/>
          <w:szCs w:val="24"/>
          <w:lang w:val="en-US" w:eastAsia="ja-JP"/>
        </w:rPr>
        <w:t>hypothesis</w:t>
      </w:r>
      <w:proofErr w:type="gramEnd"/>
      <w:r>
        <w:rPr>
          <w:rFonts w:ascii="Times New Roman" w:eastAsia="MS Mincho" w:hAnsi="Times New Roman" w:cs="Times New Roman"/>
          <w:sz w:val="24"/>
          <w:szCs w:val="24"/>
          <w:lang w:val="en-US" w:eastAsia="ja-JP"/>
        </w:rPr>
        <w:t xml:space="preserve"> the distances between pharmacophore sites are shown in Fig. 1 and scatter plots of experimental versus predicted bioactivity values for training and test set are presented in Fig. 2. </w:t>
      </w:r>
    </w:p>
    <w:p>
      <w:pPr>
        <w:spacing w:after="0" w:line="360" w:lineRule="auto"/>
        <w:ind w:firstLine="720"/>
        <w:jc w:val="center"/>
        <w:rPr>
          <w:rFonts w:ascii="Times New Roman" w:eastAsia="MS Mincho" w:hAnsi="Times New Roman" w:cs="Times New Roman"/>
          <w:sz w:val="24"/>
          <w:szCs w:val="24"/>
          <w:lang w:val="de-DE" w:eastAsia="ja-JP"/>
        </w:rPr>
      </w:pPr>
    </w:p>
    <w:p>
      <w:pPr>
        <w:spacing w:after="0" w:line="360" w:lineRule="auto"/>
        <w:ind w:firstLine="720"/>
        <w:jc w:val="center"/>
        <w:rPr>
          <w:rFonts w:ascii="Times New Roman" w:eastAsia="MS Mincho" w:hAnsi="Times New Roman" w:cs="Times New Roman"/>
          <w:sz w:val="24"/>
          <w:szCs w:val="24"/>
          <w:lang w:val="de-DE" w:eastAsia="ja-JP"/>
        </w:rPr>
      </w:pPr>
      <w:r>
        <w:rPr>
          <w:rFonts w:ascii="Times New Roman" w:eastAsia="MS Mincho" w:hAnsi="Times New Roman" w:cs="Times New Roman"/>
          <w:noProof/>
          <w:sz w:val="24"/>
          <w:szCs w:val="24"/>
          <w:lang w:eastAsia="en-GB"/>
        </w:rPr>
        <w:drawing>
          <wp:inline distT="0" distB="0" distL="0" distR="0">
            <wp:extent cx="3240024" cy="10728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0024" cy="1072896"/>
                    </a:xfrm>
                    <a:prstGeom prst="rect">
                      <a:avLst/>
                    </a:prstGeom>
                  </pic:spPr>
                </pic:pic>
              </a:graphicData>
            </a:graphic>
          </wp:inline>
        </w:drawing>
      </w: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Fig. 1.</w:t>
      </w:r>
      <w:r>
        <w:rPr>
          <w:rFonts w:ascii="Times New Roman" w:eastAsia="MS Mincho" w:hAnsi="Times New Roman" w:cs="Times New Roman"/>
          <w:sz w:val="24"/>
          <w:szCs w:val="24"/>
          <w:lang w:eastAsia="ja-JP"/>
        </w:rPr>
        <w:t xml:space="preserve"> AAHR.524 pharmacophore hypothesis depicted with the </w:t>
      </w:r>
      <w:r>
        <w:rPr>
          <w:rFonts w:ascii="Times New Roman" w:eastAsia="MS Mincho" w:hAnsi="Times New Roman" w:cs="Times New Roman"/>
          <w:noProof/>
          <w:sz w:val="24"/>
          <w:szCs w:val="24"/>
          <w:lang w:eastAsia="ja-JP"/>
        </w:rPr>
        <w:t>best fitted</w:t>
      </w:r>
      <w:r>
        <w:rPr>
          <w:rFonts w:ascii="Times New Roman" w:eastAsia="MS Mincho" w:hAnsi="Times New Roman" w:cs="Times New Roman"/>
          <w:sz w:val="24"/>
          <w:szCs w:val="24"/>
          <w:lang w:eastAsia="ja-JP"/>
        </w:rPr>
        <w:t xml:space="preserve"> compound </w:t>
      </w:r>
      <w:r>
        <w:rPr>
          <w:rFonts w:ascii="Times New Roman" w:eastAsia="MS Mincho" w:hAnsi="Times New Roman" w:cs="Times New Roman"/>
          <w:b/>
          <w:sz w:val="24"/>
          <w:szCs w:val="24"/>
          <w:lang w:eastAsia="ja-JP"/>
        </w:rPr>
        <w:t>17</w:t>
      </w:r>
      <w:r>
        <w:rPr>
          <w:rFonts w:ascii="Times New Roman" w:eastAsia="MS Mincho" w:hAnsi="Times New Roman" w:cs="Times New Roman"/>
          <w:sz w:val="24"/>
          <w:szCs w:val="24"/>
          <w:lang w:eastAsia="ja-JP"/>
        </w:rPr>
        <w:t>. The distances between the following features are presented:  hydrogen bond acceptor (A1), hydrogen bond acceptor (A3), aromatic ring (R12) and one hydrophobic region (H8).</w:t>
      </w:r>
    </w:p>
    <w:p>
      <w:pPr>
        <w:spacing w:after="0" w:line="360" w:lineRule="auto"/>
        <w:jc w:val="center"/>
        <w:rPr>
          <w:rFonts w:ascii="Times New Roman" w:eastAsia="MS Mincho" w:hAnsi="Times New Roman" w:cs="Times New Roman"/>
          <w:color w:val="FF0000"/>
          <w:sz w:val="24"/>
          <w:szCs w:val="24"/>
          <w:lang w:eastAsia="ja-JP"/>
        </w:rPr>
      </w:pPr>
    </w:p>
    <w:p>
      <w:pPr>
        <w:spacing w:after="0" w:line="360" w:lineRule="auto"/>
        <w:ind w:firstLine="720"/>
        <w:jc w:val="center"/>
        <w:rPr>
          <w:rFonts w:ascii="Times New Roman" w:eastAsia="MS Mincho" w:hAnsi="Times New Roman" w:cs="Times New Roman"/>
          <w:sz w:val="24"/>
          <w:szCs w:val="24"/>
          <w:lang w:eastAsia="ja-JP"/>
        </w:rPr>
      </w:pPr>
    </w:p>
    <w:p>
      <w:pPr>
        <w:spacing w:after="0" w:line="360" w:lineRule="auto"/>
        <w:ind w:firstLine="720"/>
        <w:jc w:val="center"/>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lang w:eastAsia="en-GB"/>
        </w:rPr>
        <w:lastRenderedPageBreak/>
        <w:drawing>
          <wp:inline distT="0" distB="0" distL="0" distR="0">
            <wp:extent cx="2159508" cy="1347216"/>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59508" cy="1347216"/>
                    </a:xfrm>
                    <a:prstGeom prst="rect">
                      <a:avLst/>
                    </a:prstGeom>
                  </pic:spPr>
                </pic:pic>
              </a:graphicData>
            </a:graphic>
          </wp:inline>
        </w:drawing>
      </w: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Fig. 2.</w:t>
      </w:r>
      <w:r>
        <w:rPr>
          <w:rFonts w:ascii="Times New Roman" w:eastAsia="MS Mincho" w:hAnsi="Times New Roman" w:cs="Times New Roman"/>
          <w:sz w:val="24"/>
          <w:szCs w:val="24"/>
          <w:lang w:eastAsia="ja-JP"/>
        </w:rPr>
        <w:t xml:space="preserve"> Correlation plots of the experimental versus PHASE predicted </w:t>
      </w:r>
      <w:r>
        <w:rPr>
          <w:rFonts w:ascii="Times New Roman" w:eastAsia="MS Mincho" w:hAnsi="Times New Roman" w:cs="Times New Roman"/>
          <w:noProof/>
          <w:sz w:val="24"/>
          <w:szCs w:val="24"/>
          <w:lang w:eastAsia="ja-JP"/>
        </w:rPr>
        <w:t>activity</w:t>
      </w:r>
      <w:r>
        <w:rPr>
          <w:rFonts w:ascii="Times New Roman" w:eastAsia="MS Mincho" w:hAnsi="Times New Roman" w:cs="Times New Roman"/>
          <w:sz w:val="24"/>
          <w:szCs w:val="24"/>
          <w:lang w:eastAsia="ja-JP"/>
        </w:rPr>
        <w:t xml:space="preserve"> of training set (blue circles) and test set (orange circles) for AAHR.524 hypothesis.</w:t>
      </w:r>
    </w:p>
    <w:p>
      <w:pPr>
        <w:spacing w:after="0" w:line="360" w:lineRule="auto"/>
        <w:jc w:val="both"/>
        <w:rPr>
          <w:rFonts w:ascii="Times New Roman" w:eastAsia="MS Mincho" w:hAnsi="Times New Roman" w:cs="Times New Roman"/>
          <w:sz w:val="24"/>
          <w:szCs w:val="24"/>
          <w:lang w:eastAsia="ja-JP"/>
        </w:rPr>
      </w:pPr>
    </w:p>
    <w:p>
      <w:pPr>
        <w:pStyle w:val="FigureCaption"/>
        <w:spacing w:before="0" w:after="0" w:line="360" w:lineRule="auto"/>
        <w:rPr>
          <w:rFonts w:ascii="Times New Roman" w:hAnsi="Times New Roman"/>
          <w:sz w:val="24"/>
          <w:szCs w:val="24"/>
        </w:rPr>
      </w:pPr>
      <w:r>
        <w:rPr>
          <w:rFonts w:ascii="Times New Roman" w:hAnsi="Times New Roman"/>
          <w:color w:val="000000" w:themeColor="text1"/>
          <w:sz w:val="24"/>
          <w:szCs w:val="24"/>
          <w:lang w:val="de-DE"/>
        </w:rPr>
        <w:t xml:space="preserve">In order to highlight </w:t>
      </w:r>
      <w:r>
        <w:rPr>
          <w:rFonts w:ascii="Times New Roman" w:hAnsi="Times New Roman"/>
          <w:noProof/>
          <w:color w:val="000000" w:themeColor="text1"/>
          <w:sz w:val="24"/>
          <w:szCs w:val="24"/>
          <w:lang w:val="de-DE"/>
        </w:rPr>
        <w:t>favorable</w:t>
      </w:r>
      <w:r>
        <w:rPr>
          <w:rFonts w:ascii="Times New Roman" w:hAnsi="Times New Roman"/>
          <w:color w:val="000000" w:themeColor="text1"/>
          <w:sz w:val="24"/>
          <w:szCs w:val="24"/>
          <w:lang w:val="de-DE"/>
        </w:rPr>
        <w:t xml:space="preserve"> and </w:t>
      </w:r>
      <w:r>
        <w:rPr>
          <w:rFonts w:ascii="Times New Roman" w:hAnsi="Times New Roman"/>
          <w:noProof/>
          <w:color w:val="000000" w:themeColor="text1"/>
          <w:sz w:val="24"/>
          <w:szCs w:val="24"/>
          <w:lang w:val="de-DE"/>
        </w:rPr>
        <w:t>unfavorable</w:t>
      </w:r>
      <w:r>
        <w:rPr>
          <w:rFonts w:ascii="Times New Roman" w:hAnsi="Times New Roman"/>
          <w:color w:val="000000" w:themeColor="text1"/>
          <w:sz w:val="24"/>
          <w:szCs w:val="24"/>
          <w:lang w:val="de-DE"/>
        </w:rPr>
        <w:t xml:space="preserve"> regions for ligand-protein interactions, the </w:t>
      </w:r>
      <w:r>
        <w:rPr>
          <w:rFonts w:ascii="Times New Roman" w:hAnsi="Times New Roman"/>
          <w:noProof/>
          <w:color w:val="000000" w:themeColor="text1"/>
          <w:sz w:val="24"/>
          <w:szCs w:val="24"/>
          <w:lang w:val="de-DE"/>
        </w:rPr>
        <w:t>Atom-based</w:t>
      </w:r>
      <w:r>
        <w:rPr>
          <w:rFonts w:ascii="Times New Roman" w:hAnsi="Times New Roman"/>
          <w:color w:val="000000" w:themeColor="text1"/>
          <w:sz w:val="24"/>
          <w:szCs w:val="24"/>
          <w:lang w:val="de-DE"/>
        </w:rPr>
        <w:t xml:space="preserve"> 3D-QSAR model </w:t>
      </w:r>
      <w:r>
        <w:rPr>
          <w:rFonts w:ascii="Times New Roman" w:hAnsi="Times New Roman"/>
          <w:noProof/>
          <w:color w:val="000000" w:themeColor="text1"/>
          <w:sz w:val="24"/>
          <w:szCs w:val="24"/>
          <w:lang w:val="de-DE"/>
        </w:rPr>
        <w:t>regarding,</w:t>
      </w:r>
      <w:r>
        <w:rPr>
          <w:rFonts w:ascii="Times New Roman" w:hAnsi="Times New Roman"/>
          <w:color w:val="000000" w:themeColor="text1"/>
          <w:sz w:val="24"/>
          <w:szCs w:val="24"/>
          <w:lang w:val="de-DE"/>
        </w:rPr>
        <w:t xml:space="preserve"> hydrogen bond donor, hydrophobic and electron withdrawing properties was mapped against the pharmacophore model (Fig. 3). Additionally, the AAHR.524 hypothesis was validated in virtual screening (VS) experiments, using PHASE Advanced Pharmacophore Screening (Fig. 4). </w:t>
      </w:r>
      <w:r>
        <w:rPr>
          <w:rFonts w:ascii="Times New Roman" w:hAnsi="Times New Roman"/>
          <w:sz w:val="24"/>
          <w:szCs w:val="24"/>
        </w:rPr>
        <w:t xml:space="preserve">In Fig. 3 the combined effects for all the features retrieved in the workspace ligands along with the overlapping of the best fitted and the less active ligands are depicted. The </w:t>
      </w:r>
      <w:r>
        <w:rPr>
          <w:rFonts w:ascii="Times New Roman" w:hAnsi="Times New Roman"/>
          <w:noProof/>
          <w:sz w:val="24"/>
          <w:szCs w:val="24"/>
        </w:rPr>
        <w:t>favorable</w:t>
      </w:r>
      <w:r>
        <w:rPr>
          <w:rFonts w:ascii="Times New Roman" w:hAnsi="Times New Roman"/>
          <w:sz w:val="24"/>
          <w:szCs w:val="24"/>
        </w:rPr>
        <w:t xml:space="preserve"> regions for biological activity are represented by blue cubes, while the red cubes indicate detrimental regions. For the AAHR.524 hypothesis, the presence of blue cubes in the region of the –NH- group of compound (</w:t>
      </w:r>
      <w:r>
        <w:rPr>
          <w:rFonts w:ascii="Times New Roman" w:hAnsi="Times New Roman"/>
          <w:b/>
          <w:sz w:val="24"/>
          <w:szCs w:val="24"/>
        </w:rPr>
        <w:t>17</w:t>
      </w:r>
      <w:r>
        <w:rPr>
          <w:rFonts w:ascii="Times New Roman" w:hAnsi="Times New Roman"/>
          <w:sz w:val="24"/>
          <w:szCs w:val="24"/>
        </w:rPr>
        <w:t xml:space="preserve">) (Fig. 3b) indicates that hydrogen bond donor property of this group is </w:t>
      </w:r>
      <w:r>
        <w:rPr>
          <w:rFonts w:ascii="Times New Roman" w:hAnsi="Times New Roman"/>
          <w:noProof/>
          <w:sz w:val="24"/>
          <w:szCs w:val="24"/>
        </w:rPr>
        <w:t>favorable</w:t>
      </w:r>
      <w:r>
        <w:rPr>
          <w:rFonts w:ascii="Times New Roman" w:hAnsi="Times New Roman"/>
          <w:sz w:val="24"/>
          <w:szCs w:val="24"/>
        </w:rPr>
        <w:t xml:space="preserve"> for activity. This finding is also supported by Glide docking results (see </w:t>
      </w:r>
      <w:r>
        <w:rPr>
          <w:rFonts w:ascii="Times New Roman" w:hAnsi="Times New Roman"/>
          <w:i/>
          <w:sz w:val="24"/>
          <w:szCs w:val="24"/>
        </w:rPr>
        <w:t>Results section</w:t>
      </w:r>
      <w:r>
        <w:rPr>
          <w:rFonts w:ascii="Times New Roman" w:hAnsi="Times New Roman"/>
          <w:sz w:val="24"/>
          <w:szCs w:val="24"/>
        </w:rPr>
        <w:t xml:space="preserve">) which highlight the implication of this amino group </w:t>
      </w:r>
      <w:r>
        <w:rPr>
          <w:rFonts w:ascii="Times New Roman" w:hAnsi="Times New Roman"/>
          <w:noProof/>
          <w:sz w:val="24"/>
          <w:szCs w:val="24"/>
        </w:rPr>
        <w:t>in the formation</w:t>
      </w:r>
      <w:r>
        <w:rPr>
          <w:rFonts w:ascii="Times New Roman" w:hAnsi="Times New Roman"/>
          <w:sz w:val="24"/>
          <w:szCs w:val="24"/>
        </w:rPr>
        <w:t xml:space="preserve"> of a hydrogen bond with residue Tyr 394 of the SMO binding site.</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pyridine ring of compound </w:t>
      </w:r>
      <w:r>
        <w:rPr>
          <w:rFonts w:ascii="Times New Roman" w:hAnsi="Times New Roman" w:cs="Times New Roman"/>
          <w:b/>
          <w:sz w:val="24"/>
          <w:szCs w:val="24"/>
        </w:rPr>
        <w:t>17</w:t>
      </w:r>
      <w:r>
        <w:rPr>
          <w:rFonts w:ascii="Times New Roman" w:hAnsi="Times New Roman" w:cs="Times New Roman"/>
          <w:sz w:val="24"/>
          <w:szCs w:val="24"/>
        </w:rPr>
        <w:t xml:space="preserve"> is engaged in hydrophobic interactions with the binding site, while in the less active ligand (compound </w:t>
      </w:r>
      <w:r>
        <w:rPr>
          <w:rFonts w:ascii="Times New Roman" w:hAnsi="Times New Roman" w:cs="Times New Roman"/>
          <w:b/>
          <w:sz w:val="24"/>
          <w:szCs w:val="24"/>
        </w:rPr>
        <w:t>22</w:t>
      </w:r>
      <w:r>
        <w:rPr>
          <w:rFonts w:ascii="Times New Roman" w:hAnsi="Times New Roman" w:cs="Times New Roman"/>
          <w:sz w:val="24"/>
          <w:szCs w:val="24"/>
        </w:rPr>
        <w:t xml:space="preserve">) this feature is missing (Fig. 3c). This finding was also confirmed by docking studies (see </w:t>
      </w:r>
      <w:r>
        <w:rPr>
          <w:rFonts w:ascii="Times New Roman" w:hAnsi="Times New Roman" w:cs="Times New Roman"/>
          <w:i/>
          <w:sz w:val="24"/>
          <w:szCs w:val="24"/>
        </w:rPr>
        <w:t>Results section</w:t>
      </w:r>
      <w:r>
        <w:rPr>
          <w:rFonts w:ascii="Times New Roman" w:hAnsi="Times New Roman" w:cs="Times New Roman"/>
          <w:sz w:val="24"/>
          <w:szCs w:val="24"/>
        </w:rPr>
        <w:t xml:space="preserve">). Regarding the electron withdrawing property (Fig. 3a), the Glide docking study revealed that the oxygen atom of the carbonyl group of compound </w:t>
      </w:r>
      <w:r>
        <w:rPr>
          <w:rFonts w:ascii="Times New Roman" w:hAnsi="Times New Roman" w:cs="Times New Roman"/>
          <w:b/>
          <w:sz w:val="24"/>
          <w:szCs w:val="24"/>
        </w:rPr>
        <w:t>17</w:t>
      </w:r>
      <w:r>
        <w:rPr>
          <w:rFonts w:ascii="Times New Roman" w:hAnsi="Times New Roman" w:cs="Times New Roman"/>
          <w:sz w:val="24"/>
          <w:szCs w:val="24"/>
        </w:rPr>
        <w:t xml:space="preserve"> can act as hydrogen bond acceptor for Arg400 residue (see </w:t>
      </w:r>
      <w:r>
        <w:rPr>
          <w:rFonts w:ascii="Times New Roman" w:hAnsi="Times New Roman" w:cs="Times New Roman"/>
          <w:i/>
          <w:sz w:val="24"/>
          <w:szCs w:val="24"/>
        </w:rPr>
        <w:t>Results section</w:t>
      </w:r>
      <w:r>
        <w:rPr>
          <w:rFonts w:ascii="Times New Roman" w:hAnsi="Times New Roman" w:cs="Times New Roman"/>
          <w:sz w:val="24"/>
          <w:szCs w:val="24"/>
        </w:rPr>
        <w:t>).</w:t>
      </w:r>
    </w:p>
    <w:p>
      <w:pPr>
        <w:spacing w:after="0" w:line="360" w:lineRule="auto"/>
        <w:jc w:val="center"/>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lang w:eastAsia="en-GB"/>
        </w:rPr>
        <w:lastRenderedPageBreak/>
        <w:drawing>
          <wp:inline distT="0" distB="0" distL="0" distR="0">
            <wp:extent cx="3240024" cy="2667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240024" cy="2667000"/>
                    </a:xfrm>
                    <a:prstGeom prst="rect">
                      <a:avLst/>
                    </a:prstGeom>
                  </pic:spPr>
                </pic:pic>
              </a:graphicData>
            </a:graphic>
          </wp:inline>
        </w:drawing>
      </w:r>
    </w:p>
    <w:p>
      <w:pPr>
        <w:spacing w:line="360" w:lineRule="auto"/>
        <w:rPr>
          <w:rFonts w:eastAsia="TimesNewRoman"/>
          <w:b/>
        </w:rPr>
      </w:pP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Fig. 3.</w:t>
      </w:r>
      <w:r>
        <w:rPr>
          <w:rFonts w:ascii="Times New Roman" w:eastAsia="MS Mincho" w:hAnsi="Times New Roman" w:cs="Times New Roman"/>
          <w:sz w:val="24"/>
          <w:szCs w:val="24"/>
          <w:lang w:eastAsia="ja-JP"/>
        </w:rPr>
        <w:t xml:space="preserve"> Superposition of compound </w:t>
      </w:r>
      <w:r>
        <w:rPr>
          <w:rFonts w:ascii="Times New Roman" w:eastAsia="MS Mincho" w:hAnsi="Times New Roman" w:cs="Times New Roman"/>
          <w:b/>
          <w:sz w:val="24"/>
          <w:szCs w:val="24"/>
          <w:lang w:eastAsia="ja-JP"/>
        </w:rPr>
        <w:t>17</w:t>
      </w:r>
      <w:r>
        <w:rPr>
          <w:rFonts w:ascii="Times New Roman" w:eastAsia="MS Mincho" w:hAnsi="Times New Roman" w:cs="Times New Roman"/>
          <w:sz w:val="24"/>
          <w:szCs w:val="24"/>
          <w:lang w:eastAsia="ja-JP"/>
        </w:rPr>
        <w:t xml:space="preserve"> (best fitted over AAHR.524 hypothesis) represented by grey carbon atoms with compound </w:t>
      </w:r>
      <w:r>
        <w:rPr>
          <w:rFonts w:ascii="Times New Roman" w:eastAsia="MS Mincho" w:hAnsi="Times New Roman" w:cs="Times New Roman"/>
          <w:b/>
          <w:sz w:val="24"/>
          <w:szCs w:val="24"/>
          <w:lang w:eastAsia="ja-JP"/>
        </w:rPr>
        <w:t>22</w:t>
      </w:r>
      <w:r>
        <w:rPr>
          <w:rFonts w:ascii="Times New Roman" w:eastAsia="MS Mincho" w:hAnsi="Times New Roman" w:cs="Times New Roman"/>
          <w:sz w:val="24"/>
          <w:szCs w:val="24"/>
          <w:lang w:eastAsia="ja-JP"/>
        </w:rPr>
        <w:t xml:space="preserve"> (least active ligand) depicted by green carbon atoms: (a) – </w:t>
      </w:r>
      <w:r>
        <w:rPr>
          <w:rFonts w:ascii="Times New Roman" w:eastAsia="MS Mincho" w:hAnsi="Times New Roman" w:cs="Times New Roman"/>
          <w:noProof/>
          <w:sz w:val="24"/>
          <w:szCs w:val="24"/>
          <w:lang w:eastAsia="ja-JP"/>
        </w:rPr>
        <w:t>electron withdrawing</w:t>
      </w:r>
      <w:r>
        <w:rPr>
          <w:rFonts w:ascii="Times New Roman" w:eastAsia="MS Mincho" w:hAnsi="Times New Roman" w:cs="Times New Roman"/>
          <w:sz w:val="24"/>
          <w:szCs w:val="24"/>
          <w:lang w:eastAsia="ja-JP"/>
        </w:rPr>
        <w:t xml:space="preserve"> property; (b) – hydrogen bond donor property; (c) – hydrophobic property.</w:t>
      </w:r>
    </w:p>
    <w:p>
      <w:pPr>
        <w:spacing w:after="0" w:line="360" w:lineRule="auto"/>
        <w:jc w:val="both"/>
        <w:rPr>
          <w:rFonts w:ascii="Times New Roman" w:eastAsia="MS Mincho" w:hAnsi="Times New Roman" w:cs="Times New Roman"/>
          <w:sz w:val="24"/>
          <w:szCs w:val="24"/>
          <w:lang w:eastAsia="ja-JP"/>
        </w:rPr>
      </w:pPr>
    </w:p>
    <w:p>
      <w:pPr>
        <w:spacing w:after="0" w:line="36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In order to assess the efficiency of VS </w:t>
      </w:r>
      <w:r>
        <w:rPr>
          <w:rFonts w:ascii="Times New Roman" w:eastAsia="MS Mincho" w:hAnsi="Times New Roman" w:cs="Times New Roman"/>
          <w:noProof/>
          <w:sz w:val="24"/>
          <w:szCs w:val="24"/>
          <w:lang w:val="en-US" w:eastAsia="ja-JP"/>
        </w:rPr>
        <w:t>experiments,</w:t>
      </w:r>
      <w:r>
        <w:rPr>
          <w:rFonts w:ascii="Times New Roman" w:eastAsia="MS Mincho" w:hAnsi="Times New Roman" w:cs="Times New Roman"/>
          <w:sz w:val="24"/>
          <w:szCs w:val="24"/>
          <w:lang w:val="en-US" w:eastAsia="ja-JP"/>
        </w:rPr>
        <w:t xml:space="preserve"> it is necessary to test their ability to distinguish active compounds or positives from inactive ones or negatives (assumed to be the decoys). In this </w:t>
      </w:r>
      <w:r>
        <w:rPr>
          <w:rFonts w:ascii="Times New Roman" w:eastAsia="MS Mincho" w:hAnsi="Times New Roman" w:cs="Times New Roman"/>
          <w:noProof/>
          <w:sz w:val="24"/>
          <w:szCs w:val="24"/>
          <w:lang w:val="en-US" w:eastAsia="ja-JP"/>
        </w:rPr>
        <w:t>regard,</w:t>
      </w:r>
      <w:r>
        <w:rPr>
          <w:rFonts w:ascii="Times New Roman" w:eastAsia="MS Mincho" w:hAnsi="Times New Roman" w:cs="Times New Roman"/>
          <w:sz w:val="24"/>
          <w:szCs w:val="24"/>
          <w:lang w:val="en-US" w:eastAsia="ja-JP"/>
        </w:rPr>
        <w:t xml:space="preserve"> different evaluation operators were employed. Namely, the receiver operation characteristics (ROC) curve</w:t>
      </w:r>
      <w:r>
        <w:rPr>
          <w:rFonts w:ascii="Times New Roman" w:eastAsia="MS Mincho" w:hAnsi="Times New Roman" w:cs="Times New Roman"/>
          <w:sz w:val="24"/>
          <w:szCs w:val="24"/>
          <w:vertAlign w:val="superscript"/>
          <w:lang w:val="en-US" w:eastAsia="ja-JP"/>
        </w:rPr>
        <w:t>28</w:t>
      </w:r>
      <w:r>
        <w:rPr>
          <w:rFonts w:ascii="Times New Roman" w:eastAsia="MS Mincho" w:hAnsi="Times New Roman" w:cs="Times New Roman"/>
          <w:sz w:val="24"/>
          <w:szCs w:val="24"/>
          <w:lang w:val="en-US" w:eastAsia="ja-JP"/>
        </w:rPr>
        <w:t xml:space="preserve"> (Fig. 4) was used for the visualization of the true positive rate (TPR) versus the false positive rate (FPR) and the area under the curve (AUC) was calculated. </w:t>
      </w:r>
      <w:proofErr w:type="gramStart"/>
      <w:r>
        <w:rPr>
          <w:rFonts w:ascii="Times New Roman" w:eastAsia="MS Mincho" w:hAnsi="Times New Roman" w:cs="Times New Roman"/>
          <w:sz w:val="24"/>
          <w:szCs w:val="24"/>
          <w:lang w:val="en-US" w:eastAsia="ja-JP"/>
        </w:rPr>
        <w:t xml:space="preserve">In our experiment, a good scores for: AUC of 0.795 (±0.027), Se (the fraction of actives correctly predicted) of 0.587, </w:t>
      </w:r>
      <w:proofErr w:type="spellStart"/>
      <w:r>
        <w:rPr>
          <w:rFonts w:ascii="Times New Roman" w:eastAsia="MS Mincho" w:hAnsi="Times New Roman" w:cs="Times New Roman"/>
          <w:sz w:val="24"/>
          <w:szCs w:val="24"/>
          <w:lang w:val="en-US" w:eastAsia="ja-JP"/>
        </w:rPr>
        <w:t>Sp</w:t>
      </w:r>
      <w:proofErr w:type="spellEnd"/>
      <w:r>
        <w:rPr>
          <w:rFonts w:ascii="Times New Roman" w:eastAsia="MS Mincho" w:hAnsi="Times New Roman" w:cs="Times New Roman"/>
          <w:sz w:val="24"/>
          <w:szCs w:val="24"/>
          <w:lang w:val="en-US" w:eastAsia="ja-JP"/>
        </w:rPr>
        <w:t xml:space="preserve"> (the fraction of </w:t>
      </w:r>
      <w:r>
        <w:rPr>
          <w:rFonts w:ascii="Times New Roman" w:eastAsia="MS Mincho" w:hAnsi="Times New Roman" w:cs="Times New Roman"/>
          <w:noProof/>
          <w:sz w:val="24"/>
          <w:szCs w:val="24"/>
          <w:lang w:val="en-US" w:eastAsia="ja-JP"/>
        </w:rPr>
        <w:t>inactives</w:t>
      </w:r>
      <w:r>
        <w:rPr>
          <w:rFonts w:ascii="Times New Roman" w:eastAsia="MS Mincho" w:hAnsi="Times New Roman" w:cs="Times New Roman"/>
          <w:sz w:val="24"/>
          <w:szCs w:val="24"/>
          <w:lang w:val="en-US" w:eastAsia="ja-JP"/>
        </w:rPr>
        <w:t xml:space="preserve"> correctly predicted) of 0.647, </w:t>
      </w:r>
      <w:proofErr w:type="spellStart"/>
      <w:r>
        <w:rPr>
          <w:rFonts w:ascii="Times New Roman" w:eastAsia="MS Mincho" w:hAnsi="Times New Roman" w:cs="Times New Roman"/>
          <w:sz w:val="24"/>
          <w:szCs w:val="24"/>
          <w:lang w:val="en-US" w:eastAsia="ja-JP"/>
        </w:rPr>
        <w:t>Acc</w:t>
      </w:r>
      <w:proofErr w:type="spellEnd"/>
      <w:r>
        <w:rPr>
          <w:rFonts w:ascii="Times New Roman" w:eastAsia="MS Mincho" w:hAnsi="Times New Roman" w:cs="Times New Roman"/>
          <w:sz w:val="24"/>
          <w:szCs w:val="24"/>
          <w:lang w:val="en-US" w:eastAsia="ja-JP"/>
        </w:rPr>
        <w:t xml:space="preserve"> (the fraction of correct predictions) of 0.640, WPPV (</w:t>
      </w:r>
      <w:r>
        <w:rPr>
          <w:rFonts w:ascii="Times New Roman" w:eastAsia="MS Mincho" w:hAnsi="Times New Roman" w:cs="Times New Roman"/>
          <w:color w:val="000000"/>
          <w:sz w:val="24"/>
          <w:szCs w:val="24"/>
          <w:lang w:eastAsia="en-GB"/>
        </w:rPr>
        <w:t xml:space="preserve">weighted average precision) </w:t>
      </w:r>
      <w:r>
        <w:rPr>
          <w:rFonts w:ascii="Times New Roman" w:eastAsia="MS Mincho" w:hAnsi="Times New Roman" w:cs="Times New Roman"/>
          <w:color w:val="000000"/>
          <w:sz w:val="24"/>
          <w:szCs w:val="24"/>
          <w:lang w:val="en-US" w:eastAsia="en-GB"/>
        </w:rPr>
        <w:t xml:space="preserve">of 0.835 </w:t>
      </w:r>
      <w:r>
        <w:rPr>
          <w:rFonts w:ascii="Times New Roman" w:eastAsia="MS Mincho" w:hAnsi="Times New Roman" w:cs="Times New Roman"/>
          <w:sz w:val="24"/>
          <w:szCs w:val="24"/>
          <w:lang w:val="en-US" w:eastAsia="ja-JP"/>
        </w:rPr>
        <w:t>and BEDROC(α=20) of 0.766, were obtained, suggesting that the AAHR.524 pharmacophore hypothesis provides a good class separation.</w:t>
      </w:r>
      <w:proofErr w:type="gramEnd"/>
      <w:r>
        <w:rPr>
          <w:rFonts w:ascii="Times New Roman" w:eastAsia="MS Mincho" w:hAnsi="Times New Roman" w:cs="Times New Roman"/>
          <w:sz w:val="24"/>
          <w:szCs w:val="24"/>
          <w:lang w:val="en-US" w:eastAsia="ja-JP"/>
        </w:rPr>
        <w:t xml:space="preserve"> Additionally, good enrichment factors, TP% at x% of FPs were obtained: 19.047% at x=1%; 30.476% at x=2%; 42.857% at x=5%; 56.190% at x=10%. </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In Fig. 4 is depicted the ROC curve, the diagonal represents the random sampling of compounds (actives and decoys) and it separates two classification areas: the correctly predicted compounds are shown above, while the incorrectly classified compounds occupy the underneath area.  TPR represents the fraction of correctly classified positives (actives) from the total of positives, while FPR expresses the fraction of the incorrectly classified negatives </w:t>
      </w:r>
      <w:r>
        <w:rPr>
          <w:rFonts w:ascii="Times New Roman" w:eastAsia="MS Mincho" w:hAnsi="Times New Roman" w:cs="Times New Roman"/>
          <w:sz w:val="24"/>
          <w:szCs w:val="24"/>
          <w:lang w:val="en-US" w:eastAsia="ja-JP"/>
        </w:rPr>
        <w:lastRenderedPageBreak/>
        <w:t>(decoys) from the total negatives</w:t>
      </w:r>
      <w:r>
        <w:rPr>
          <w:rFonts w:ascii="Times New Roman" w:eastAsia="MS Mincho" w:hAnsi="Times New Roman" w:cs="Times New Roman"/>
          <w:sz w:val="24"/>
          <w:szCs w:val="24"/>
          <w:vertAlign w:val="superscript"/>
          <w:lang w:val="en-US" w:eastAsia="ja-JP"/>
        </w:rPr>
        <w:t>28,</w:t>
      </w:r>
      <w:r>
        <w:rPr>
          <w:rFonts w:ascii="Times New Roman" w:eastAsia="MS Mincho" w:hAnsi="Times New Roman" w:cs="Times New Roman"/>
          <w:color w:val="FF0000"/>
          <w:sz w:val="24"/>
          <w:szCs w:val="24"/>
          <w:vertAlign w:val="superscript"/>
          <w:lang w:val="en-US" w:eastAsia="ja-JP"/>
        </w:rPr>
        <w:t>35</w:t>
      </w:r>
      <w:r>
        <w:rPr>
          <w:rFonts w:ascii="Times New Roman" w:eastAsia="MS Mincho" w:hAnsi="Times New Roman" w:cs="Times New Roman"/>
          <w:sz w:val="24"/>
          <w:szCs w:val="24"/>
          <w:lang w:val="en-US" w:eastAsia="ja-JP"/>
        </w:rPr>
        <w:t xml:space="preserve">. Following ligand-based analysis, the structure-based study, represented by molecular docking, comes to bring additional light on </w:t>
      </w:r>
      <w:r>
        <w:rPr>
          <w:rFonts w:ascii="Times New Roman" w:eastAsia="MS Mincho" w:hAnsi="Times New Roman" w:cs="Times New Roman"/>
          <w:noProof/>
          <w:sz w:val="24"/>
          <w:szCs w:val="24"/>
          <w:lang w:val="en-US" w:eastAsia="ja-JP"/>
        </w:rPr>
        <w:t>ligand-protein</w:t>
      </w:r>
      <w:r>
        <w:rPr>
          <w:rFonts w:ascii="Times New Roman" w:eastAsia="MS Mincho" w:hAnsi="Times New Roman" w:cs="Times New Roman"/>
          <w:sz w:val="24"/>
          <w:szCs w:val="24"/>
          <w:lang w:val="en-US" w:eastAsia="ja-JP"/>
        </w:rPr>
        <w:t xml:space="preserve"> interaction profile. </w:t>
      </w:r>
    </w:p>
    <w:p>
      <w:pPr>
        <w:spacing w:after="0" w:line="360" w:lineRule="auto"/>
        <w:ind w:firstLine="720"/>
        <w:jc w:val="both"/>
        <w:rPr>
          <w:rFonts w:ascii="Times New Roman" w:eastAsia="MS Mincho" w:hAnsi="Times New Roman" w:cs="Times New Roman"/>
          <w:sz w:val="24"/>
          <w:szCs w:val="24"/>
          <w:lang w:val="en-US" w:eastAsia="ja-JP"/>
        </w:rPr>
      </w:pPr>
    </w:p>
    <w:p>
      <w:pPr>
        <w:spacing w:after="0" w:line="360" w:lineRule="auto"/>
        <w:ind w:firstLine="720"/>
        <w:jc w:val="center"/>
        <w:rPr>
          <w:rFonts w:ascii="Times New Roman" w:eastAsia="MS Mincho" w:hAnsi="Times New Roman" w:cs="Times New Roman"/>
          <w:sz w:val="24"/>
          <w:szCs w:val="24"/>
          <w:lang w:val="en-US" w:eastAsia="ja-JP"/>
        </w:rPr>
      </w:pPr>
      <w:r>
        <w:rPr>
          <w:rFonts w:ascii="Times New Roman" w:eastAsia="MS Mincho" w:hAnsi="Times New Roman" w:cs="Times New Roman"/>
          <w:noProof/>
          <w:sz w:val="24"/>
          <w:szCs w:val="24"/>
          <w:lang w:eastAsia="en-GB"/>
        </w:rPr>
        <w:drawing>
          <wp:inline distT="0" distB="0" distL="0" distR="0">
            <wp:extent cx="2159508" cy="127406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9508" cy="1274064"/>
                    </a:xfrm>
                    <a:prstGeom prst="rect">
                      <a:avLst/>
                    </a:prstGeom>
                  </pic:spPr>
                </pic:pic>
              </a:graphicData>
            </a:graphic>
          </wp:inline>
        </w:drawing>
      </w: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Fig. 4.</w:t>
      </w:r>
      <w:r>
        <w:rPr>
          <w:rFonts w:ascii="Times New Roman" w:eastAsia="MS Mincho" w:hAnsi="Times New Roman" w:cs="Times New Roman"/>
          <w:sz w:val="24"/>
          <w:szCs w:val="24"/>
          <w:lang w:eastAsia="ja-JP"/>
        </w:rPr>
        <w:t xml:space="preserve"> The receiver operation characteristics (ROC) curve, involving the AAHR.524 hypothesis against the validation data set.</w:t>
      </w:r>
    </w:p>
    <w:p>
      <w:pPr>
        <w:spacing w:after="0" w:line="360" w:lineRule="auto"/>
        <w:jc w:val="center"/>
        <w:rPr>
          <w:rFonts w:ascii="Times New Roman" w:eastAsia="MS Mincho" w:hAnsi="Times New Roman" w:cs="Times New Roman"/>
          <w:color w:val="FF0000"/>
          <w:sz w:val="24"/>
          <w:szCs w:val="24"/>
          <w:lang w:eastAsia="ja-JP"/>
        </w:rPr>
      </w:pPr>
    </w:p>
    <w:p>
      <w:pPr>
        <w:spacing w:after="0" w:line="36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In order to validate the reasonability of choosing the two docking software for our study (Glide (Fig. 5a) and Induced Fit (Fig. 5b)), we have undertaken a control experiment. The co-crystallized inhibitor LY2940680 was docked to its native X-ray structure, 4jkv, and the </w:t>
      </w:r>
      <w:r>
        <w:rPr>
          <w:rFonts w:ascii="Times New Roman" w:eastAsia="MS Mincho" w:hAnsi="Times New Roman" w:cs="Times New Roman"/>
          <w:noProof/>
          <w:sz w:val="24"/>
          <w:szCs w:val="24"/>
          <w:lang w:val="en-US" w:eastAsia="ja-JP"/>
        </w:rPr>
        <w:t>best docked</w:t>
      </w:r>
      <w:r>
        <w:rPr>
          <w:rFonts w:ascii="Times New Roman" w:eastAsia="MS Mincho" w:hAnsi="Times New Roman" w:cs="Times New Roman"/>
          <w:sz w:val="24"/>
          <w:szCs w:val="24"/>
          <w:lang w:val="en-US" w:eastAsia="ja-JP"/>
        </w:rPr>
        <w:t xml:space="preserve"> pose was superimposed with the native binding pose from the experimental structure 4jkv. The RMSD values were also calculated. According to </w:t>
      </w:r>
      <w:proofErr w:type="spellStart"/>
      <w:r>
        <w:rPr>
          <w:rFonts w:ascii="Times New Roman" w:eastAsia="MS Mincho" w:hAnsi="Times New Roman" w:cs="Times New Roman"/>
          <w:sz w:val="24"/>
          <w:szCs w:val="24"/>
          <w:lang w:val="en-US" w:eastAsia="ja-JP"/>
        </w:rPr>
        <w:t>Gohlke</w:t>
      </w:r>
      <w:proofErr w:type="spellEnd"/>
      <w:r>
        <w:rPr>
          <w:rFonts w:ascii="Times New Roman" w:eastAsia="MS Mincho" w:hAnsi="Times New Roman" w:cs="Times New Roman"/>
          <w:sz w:val="24"/>
          <w:szCs w:val="24"/>
          <w:lang w:val="en-US" w:eastAsia="ja-JP"/>
        </w:rPr>
        <w:t xml:space="preserve"> et al.</w:t>
      </w:r>
      <w:r>
        <w:rPr>
          <w:rFonts w:ascii="Times New Roman" w:eastAsia="MS Mincho" w:hAnsi="Times New Roman" w:cs="Times New Roman"/>
          <w:color w:val="FF0000"/>
          <w:sz w:val="24"/>
          <w:szCs w:val="24"/>
          <w:vertAlign w:val="superscript"/>
          <w:lang w:val="en-US" w:eastAsia="ja-JP"/>
        </w:rPr>
        <w:t>35</w:t>
      </w:r>
      <w:r>
        <w:rPr>
          <w:rFonts w:ascii="Times New Roman" w:eastAsia="MS Mincho" w:hAnsi="Times New Roman" w:cs="Times New Roman"/>
          <w:noProof/>
          <w:sz w:val="24"/>
          <w:szCs w:val="24"/>
          <w:lang w:val="en-US" w:eastAsia="ja-JP"/>
        </w:rPr>
        <w:t>,</w:t>
      </w:r>
      <w:r>
        <w:rPr>
          <w:rFonts w:ascii="Times New Roman" w:eastAsia="MS Mincho" w:hAnsi="Times New Roman" w:cs="Times New Roman"/>
          <w:sz w:val="24"/>
          <w:szCs w:val="24"/>
          <w:lang w:val="en-US" w:eastAsia="ja-JP"/>
        </w:rPr>
        <w:t xml:space="preserve"> </w:t>
      </w:r>
      <w:r>
        <w:rPr>
          <w:rFonts w:ascii="Times New Roman" w:eastAsia="MS Mincho" w:hAnsi="Times New Roman" w:cs="Times New Roman"/>
          <w:noProof/>
          <w:sz w:val="24"/>
          <w:szCs w:val="24"/>
          <w:lang w:val="en-US" w:eastAsia="ja-JP"/>
        </w:rPr>
        <w:t>an RMSD</w:t>
      </w:r>
      <w:r>
        <w:rPr>
          <w:rFonts w:ascii="Times New Roman" w:eastAsia="MS Mincho" w:hAnsi="Times New Roman" w:cs="Times New Roman"/>
          <w:sz w:val="24"/>
          <w:szCs w:val="24"/>
          <w:lang w:val="en-US" w:eastAsia="ja-JP"/>
        </w:rPr>
        <w:t xml:space="preserve"> </w:t>
      </w:r>
      <w:r>
        <w:rPr>
          <w:rFonts w:ascii="Times New Roman" w:eastAsia="MS Mincho" w:hAnsi="Times New Roman" w:cs="Times New Roman"/>
          <w:noProof/>
          <w:sz w:val="24"/>
          <w:szCs w:val="24"/>
          <w:lang w:val="en-US" w:eastAsia="ja-JP"/>
        </w:rPr>
        <w:t>value</w:t>
      </w:r>
      <w:r>
        <w:rPr>
          <w:rFonts w:ascii="Times New Roman" w:eastAsia="MS Mincho" w:hAnsi="Times New Roman" w:cs="Times New Roman"/>
          <w:sz w:val="24"/>
          <w:szCs w:val="24"/>
          <w:lang w:val="en-US" w:eastAsia="ja-JP"/>
        </w:rPr>
        <w:t xml:space="preserve"> less than 2.0 Å is broadly accepted as “effectively” docked structure. The docking protocol with Glide and Induced Fit have provided very good RMSD values of 0.192 (Fig. 5a), and 0.700, respectively (Fig. 5b). </w:t>
      </w:r>
    </w:p>
    <w:p>
      <w:pPr>
        <w:spacing w:after="0" w:line="360" w:lineRule="auto"/>
        <w:jc w:val="center"/>
        <w:rPr>
          <w:rFonts w:ascii="Times New Roman" w:eastAsia="MS Mincho" w:hAnsi="Times New Roman" w:cs="Times New Roman"/>
          <w:sz w:val="24"/>
          <w:szCs w:val="24"/>
          <w:lang w:val="en-US" w:eastAsia="ja-JP"/>
        </w:rPr>
      </w:pPr>
      <w:r>
        <w:rPr>
          <w:rFonts w:ascii="Times New Roman" w:eastAsia="MS Mincho" w:hAnsi="Times New Roman" w:cs="Times New Roman"/>
          <w:noProof/>
          <w:sz w:val="24"/>
          <w:szCs w:val="24"/>
          <w:lang w:eastAsia="en-GB"/>
        </w:rPr>
        <w:drawing>
          <wp:inline distT="0" distB="0" distL="0" distR="0">
            <wp:extent cx="4320540" cy="2071116"/>
            <wp:effectExtent l="0" t="0" r="381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5.tif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20540" cy="2071116"/>
                    </a:xfrm>
                    <a:prstGeom prst="rect">
                      <a:avLst/>
                    </a:prstGeom>
                  </pic:spPr>
                </pic:pic>
              </a:graphicData>
            </a:graphic>
          </wp:inline>
        </w:drawing>
      </w: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Fig. 5.</w:t>
      </w:r>
      <w:r>
        <w:rPr>
          <w:rFonts w:ascii="Times New Roman" w:eastAsia="MS Mincho" w:hAnsi="Times New Roman" w:cs="Times New Roman"/>
          <w:sz w:val="24"/>
          <w:szCs w:val="24"/>
          <w:lang w:eastAsia="ja-JP"/>
        </w:rPr>
        <w:t xml:space="preserve"> Superposition of the pose of the crystal structure 4jkv (with the inhibitor LY2940680 -depicted with pink), and the pose of the same ligand obtained by docking with Glide SP (rendered with green) (a); Superposition of the pose of the crystal structure 4jkv (with the inhibitor LY2940680 -depicted with pink), and the pose of the same ligand obtained by docking with Induced Fit SP (rendered with green) (b).</w:t>
      </w:r>
    </w:p>
    <w:p>
      <w:pPr>
        <w:spacing w:after="0" w:line="360" w:lineRule="auto"/>
        <w:jc w:val="both"/>
        <w:rPr>
          <w:rFonts w:ascii="Times New Roman" w:eastAsia="MS Mincho" w:hAnsi="Times New Roman" w:cs="Times New Roman"/>
          <w:sz w:val="24"/>
          <w:szCs w:val="24"/>
          <w:lang w:eastAsia="ja-JP"/>
        </w:rPr>
      </w:pPr>
    </w:p>
    <w:p>
      <w:pPr>
        <w:spacing w:after="0" w:line="36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A comparative study made by Wang and al.</w:t>
      </w:r>
      <w:r>
        <w:rPr>
          <w:rFonts w:ascii="Times New Roman" w:eastAsia="MS Mincho" w:hAnsi="Times New Roman" w:cs="Times New Roman"/>
          <w:color w:val="FF0000"/>
          <w:sz w:val="24"/>
          <w:szCs w:val="24"/>
          <w:vertAlign w:val="superscript"/>
          <w:lang w:val="en-US" w:eastAsia="ja-JP"/>
        </w:rPr>
        <w:t>36</w:t>
      </w:r>
      <w:r>
        <w:rPr>
          <w:rFonts w:ascii="Times New Roman" w:eastAsia="MS Mincho" w:hAnsi="Times New Roman" w:cs="Times New Roman"/>
          <w:color w:val="FF0000"/>
          <w:sz w:val="24"/>
          <w:szCs w:val="24"/>
          <w:lang w:val="en-US" w:eastAsia="ja-JP"/>
        </w:rPr>
        <w:t xml:space="preserve"> </w:t>
      </w:r>
      <w:r>
        <w:rPr>
          <w:rFonts w:ascii="Times New Roman" w:eastAsia="MS Mincho" w:hAnsi="Times New Roman" w:cs="Times New Roman"/>
          <w:sz w:val="24"/>
          <w:szCs w:val="24"/>
          <w:lang w:val="en-US" w:eastAsia="ja-JP"/>
        </w:rPr>
        <w:t xml:space="preserve">on the binding profile and interactions of the ligands: antagonists and agonists at the human SMO receptor, reveals some specific features. The binding sites of antagonists, e.g. LY2940680, </w:t>
      </w:r>
      <w:proofErr w:type="spellStart"/>
      <w:r>
        <w:rPr>
          <w:rFonts w:ascii="Times New Roman" w:eastAsia="MS Mincho" w:hAnsi="Times New Roman" w:cs="Times New Roman"/>
          <w:sz w:val="24"/>
          <w:szCs w:val="24"/>
          <w:lang w:val="en-US" w:eastAsia="ja-JP"/>
        </w:rPr>
        <w:t>cyclopamine</w:t>
      </w:r>
      <w:proofErr w:type="spellEnd"/>
      <w:r>
        <w:rPr>
          <w:rFonts w:ascii="Times New Roman" w:eastAsia="MS Mincho" w:hAnsi="Times New Roman" w:cs="Times New Roman"/>
          <w:sz w:val="24"/>
          <w:szCs w:val="24"/>
          <w:lang w:val="en-US" w:eastAsia="ja-JP"/>
        </w:rPr>
        <w:t xml:space="preserve"> and </w:t>
      </w:r>
      <w:proofErr w:type="spellStart"/>
      <w:r>
        <w:rPr>
          <w:rFonts w:ascii="Times New Roman" w:eastAsia="MS Mincho" w:hAnsi="Times New Roman" w:cs="Times New Roman"/>
          <w:sz w:val="24"/>
          <w:szCs w:val="24"/>
          <w:lang w:val="en-US" w:eastAsia="ja-JP"/>
        </w:rPr>
        <w:t>AntaXV</w:t>
      </w:r>
      <w:proofErr w:type="spellEnd"/>
      <w:r>
        <w:rPr>
          <w:rFonts w:ascii="Times New Roman" w:eastAsia="MS Mincho" w:hAnsi="Times New Roman" w:cs="Times New Roman"/>
          <w:sz w:val="24"/>
          <w:szCs w:val="24"/>
          <w:lang w:val="en-US" w:eastAsia="ja-JP"/>
        </w:rPr>
        <w:t xml:space="preserve"> and the agonist SAG1.5 consist mostly of residues from the extracellular linker domain and loops. In particular, Asp219 (of the extracellular linker domain) it was observed to be involved in the formation of hydrogen bonds with ligands: LY2940680, </w:t>
      </w:r>
      <w:proofErr w:type="spellStart"/>
      <w:r>
        <w:rPr>
          <w:rFonts w:ascii="Times New Roman" w:eastAsia="MS Mincho" w:hAnsi="Times New Roman" w:cs="Times New Roman"/>
          <w:sz w:val="24"/>
          <w:szCs w:val="24"/>
          <w:lang w:val="en-US" w:eastAsia="ja-JP"/>
        </w:rPr>
        <w:t>AntaXV</w:t>
      </w:r>
      <w:proofErr w:type="spellEnd"/>
      <w:r>
        <w:rPr>
          <w:rFonts w:ascii="Times New Roman" w:eastAsia="MS Mincho" w:hAnsi="Times New Roman" w:cs="Times New Roman"/>
          <w:sz w:val="24"/>
          <w:szCs w:val="24"/>
          <w:lang w:val="en-US" w:eastAsia="ja-JP"/>
        </w:rPr>
        <w:t xml:space="preserve"> and SAG1.5</w:t>
      </w:r>
      <w:r>
        <w:rPr>
          <w:rFonts w:ascii="Times New Roman" w:eastAsia="MS Mincho" w:hAnsi="Times New Roman" w:cs="Times New Roman"/>
          <w:color w:val="FF0000"/>
          <w:sz w:val="24"/>
          <w:szCs w:val="24"/>
          <w:vertAlign w:val="superscript"/>
          <w:lang w:val="en-US" w:eastAsia="ja-JP"/>
        </w:rPr>
        <w:t>36</w:t>
      </w:r>
      <w:r>
        <w:rPr>
          <w:rFonts w:ascii="Times New Roman" w:eastAsia="MS Mincho" w:hAnsi="Times New Roman" w:cs="Times New Roman"/>
          <w:sz w:val="24"/>
          <w:szCs w:val="24"/>
          <w:lang w:val="en-US" w:eastAsia="ja-JP"/>
        </w:rPr>
        <w:t>. Also, an important residue from the helix V is Arg400 (Arg5.39) which forms hydrogen bonds with antagonists: LY2940680 and AntaXV</w:t>
      </w:r>
      <w:r>
        <w:rPr>
          <w:rFonts w:ascii="Times New Roman" w:eastAsia="MS Mincho" w:hAnsi="Times New Roman" w:cs="Times New Roman"/>
          <w:color w:val="FF0000"/>
          <w:sz w:val="24"/>
          <w:szCs w:val="24"/>
          <w:vertAlign w:val="superscript"/>
          <w:lang w:val="en-US" w:eastAsia="ja-JP"/>
        </w:rPr>
        <w:t>36,37</w:t>
      </w:r>
      <w:r>
        <w:rPr>
          <w:rFonts w:ascii="Times New Roman" w:eastAsia="MS Mincho" w:hAnsi="Times New Roman" w:cs="Times New Roman"/>
          <w:sz w:val="24"/>
          <w:szCs w:val="24"/>
          <w:lang w:val="en-US" w:eastAsia="ja-JP"/>
        </w:rPr>
        <w:t xml:space="preserve">. According to the latest studies, the SMO receptor contains two distinct binding sites. One ligand-binding site is located in </w:t>
      </w:r>
      <w:proofErr w:type="spellStart"/>
      <w:r>
        <w:rPr>
          <w:rFonts w:ascii="Times New Roman" w:eastAsia="MS Mincho" w:hAnsi="Times New Roman" w:cs="Times New Roman"/>
          <w:sz w:val="24"/>
          <w:szCs w:val="24"/>
          <w:lang w:val="en-US" w:eastAsia="ja-JP"/>
        </w:rPr>
        <w:t>heptahelical</w:t>
      </w:r>
      <w:proofErr w:type="spellEnd"/>
      <w:r>
        <w:rPr>
          <w:rFonts w:ascii="Times New Roman" w:eastAsia="MS Mincho" w:hAnsi="Times New Roman" w:cs="Times New Roman"/>
          <w:sz w:val="24"/>
          <w:szCs w:val="24"/>
          <w:lang w:val="en-US" w:eastAsia="ja-JP"/>
        </w:rPr>
        <w:t xml:space="preserve"> transmembrane domain, and the second, occupied by a cholesterol molecule is placed in the extracellular cysteine-rich domain</w:t>
      </w:r>
      <w:r>
        <w:rPr>
          <w:rFonts w:ascii="Times New Roman" w:eastAsia="MS Mincho" w:hAnsi="Times New Roman" w:cs="Times New Roman"/>
          <w:color w:val="FF0000"/>
          <w:sz w:val="24"/>
          <w:szCs w:val="24"/>
          <w:vertAlign w:val="superscript"/>
          <w:lang w:val="en-US" w:eastAsia="ja-JP"/>
        </w:rPr>
        <w:t>38</w:t>
      </w:r>
      <w:r>
        <w:rPr>
          <w:rFonts w:ascii="Times New Roman" w:eastAsia="MS Mincho" w:hAnsi="Times New Roman" w:cs="Times New Roman"/>
          <w:sz w:val="24"/>
          <w:szCs w:val="24"/>
          <w:lang w:val="en-US" w:eastAsia="ja-JP"/>
        </w:rPr>
        <w:t>. Thus, the SMO inhibitors were classified in two categories: 1) antagonists that bind mainly to the extracellular loops, and 2) antagonists that enter deeper into the cavity formed by the transmembrane helices domain</w:t>
      </w:r>
      <w:r>
        <w:rPr>
          <w:rFonts w:ascii="Times New Roman" w:eastAsia="MS Mincho" w:hAnsi="Times New Roman" w:cs="Times New Roman"/>
          <w:sz w:val="24"/>
          <w:szCs w:val="24"/>
          <w:vertAlign w:val="superscript"/>
          <w:lang w:val="en-US" w:eastAsia="ja-JP"/>
        </w:rPr>
        <w:t>20</w:t>
      </w:r>
      <w:r>
        <w:rPr>
          <w:rFonts w:ascii="Times New Roman" w:eastAsia="MS Mincho" w:hAnsi="Times New Roman" w:cs="Times New Roman"/>
          <w:sz w:val="24"/>
          <w:szCs w:val="24"/>
          <w:lang w:val="en-US" w:eastAsia="ja-JP"/>
        </w:rPr>
        <w:t>.</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The large binding site of SMO receptor allows flexibility to the ligands leading to several distinct binding modes</w:t>
      </w:r>
      <w:r>
        <w:rPr>
          <w:rFonts w:ascii="Times New Roman" w:eastAsia="MS Mincho" w:hAnsi="Times New Roman" w:cs="Times New Roman"/>
          <w:sz w:val="24"/>
          <w:szCs w:val="24"/>
          <w:vertAlign w:val="superscript"/>
          <w:lang w:val="en-US" w:eastAsia="ja-JP"/>
        </w:rPr>
        <w:t xml:space="preserve">20, </w:t>
      </w:r>
      <w:r>
        <w:rPr>
          <w:rFonts w:ascii="Times New Roman" w:eastAsia="MS Mincho" w:hAnsi="Times New Roman" w:cs="Times New Roman"/>
          <w:color w:val="FF0000"/>
          <w:sz w:val="24"/>
          <w:szCs w:val="24"/>
          <w:vertAlign w:val="superscript"/>
          <w:lang w:val="en-US" w:eastAsia="ja-JP"/>
        </w:rPr>
        <w:t>36-38</w:t>
      </w:r>
      <w:r>
        <w:rPr>
          <w:rFonts w:ascii="Times New Roman" w:eastAsia="MS Mincho" w:hAnsi="Times New Roman" w:cs="Times New Roman"/>
          <w:sz w:val="24"/>
          <w:szCs w:val="24"/>
          <w:lang w:val="en-US" w:eastAsia="ja-JP"/>
        </w:rPr>
        <w:t xml:space="preserve">. Although, similar disposition of the ligand in situ were retrieved by the two docking methods employed (Fig. 6c), the orientation of the ligand is reversed in the binding site, hence resulting in different interactions with the amino acids of the protein (Fig. 6a, 6b). Two interaction patterns for compound </w:t>
      </w:r>
      <w:r>
        <w:rPr>
          <w:rFonts w:ascii="Times New Roman" w:eastAsia="MS Mincho" w:hAnsi="Times New Roman" w:cs="Times New Roman"/>
          <w:b/>
          <w:sz w:val="24"/>
          <w:szCs w:val="24"/>
          <w:lang w:val="en-US" w:eastAsia="ja-JP"/>
        </w:rPr>
        <w:t>17</w:t>
      </w:r>
      <w:r>
        <w:rPr>
          <w:rFonts w:ascii="Times New Roman" w:eastAsia="MS Mincho" w:hAnsi="Times New Roman" w:cs="Times New Roman"/>
          <w:sz w:val="24"/>
          <w:szCs w:val="24"/>
          <w:lang w:val="en-US" w:eastAsia="ja-JP"/>
        </w:rPr>
        <w:t xml:space="preserve"> were observed depending </w:t>
      </w:r>
      <w:r>
        <w:rPr>
          <w:rFonts w:ascii="Times New Roman" w:eastAsia="MS Mincho" w:hAnsi="Times New Roman" w:cs="Times New Roman"/>
          <w:noProof/>
          <w:sz w:val="24"/>
          <w:szCs w:val="24"/>
          <w:lang w:val="en-US" w:eastAsia="ja-JP"/>
        </w:rPr>
        <w:t>on</w:t>
      </w:r>
      <w:r>
        <w:rPr>
          <w:rFonts w:ascii="Times New Roman" w:eastAsia="MS Mincho" w:hAnsi="Times New Roman" w:cs="Times New Roman"/>
          <w:sz w:val="24"/>
          <w:szCs w:val="24"/>
          <w:lang w:val="en-US" w:eastAsia="ja-JP"/>
        </w:rPr>
        <w:t xml:space="preserve"> the docking software used, Glide (Fig. 6a) or Induced Fit (Fig. 6b). </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In the following the most important features characterizing the interaction of compound 17 with the binding site of SMO receptor resulted from docking with Glide are presented: (</w:t>
      </w:r>
      <w:proofErr w:type="spellStart"/>
      <w:r>
        <w:rPr>
          <w:rFonts w:ascii="Times New Roman" w:eastAsia="MS Mincho" w:hAnsi="Times New Roman" w:cs="Times New Roman"/>
          <w:sz w:val="24"/>
          <w:szCs w:val="24"/>
          <w:lang w:val="en-US" w:eastAsia="ja-JP"/>
        </w:rPr>
        <w:t>i</w:t>
      </w:r>
      <w:proofErr w:type="spellEnd"/>
      <w:r>
        <w:rPr>
          <w:rFonts w:ascii="Times New Roman" w:eastAsia="MS Mincho" w:hAnsi="Times New Roman" w:cs="Times New Roman"/>
          <w:sz w:val="24"/>
          <w:szCs w:val="24"/>
          <w:lang w:val="en-US" w:eastAsia="ja-JP"/>
        </w:rPr>
        <w:t xml:space="preserve">) the oxygen atom of the carbonyl group acts like hydrogen bond acceptor for Arg400 and </w:t>
      </w:r>
      <w:proofErr w:type="spellStart"/>
      <w:r>
        <w:rPr>
          <w:rFonts w:ascii="Times New Roman" w:eastAsia="MS Mincho" w:hAnsi="Times New Roman" w:cs="Times New Roman"/>
          <w:sz w:val="24"/>
          <w:szCs w:val="24"/>
          <w:lang w:val="en-US" w:eastAsia="ja-JP"/>
        </w:rPr>
        <w:t>Gln</w:t>
      </w:r>
      <w:proofErr w:type="spellEnd"/>
      <w:r>
        <w:rPr>
          <w:rFonts w:ascii="Times New Roman" w:eastAsia="MS Mincho" w:hAnsi="Times New Roman" w:cs="Times New Roman"/>
          <w:sz w:val="24"/>
          <w:szCs w:val="24"/>
          <w:lang w:val="en-US" w:eastAsia="ja-JP"/>
        </w:rPr>
        <w:t xml:space="preserve"> 477; (ii) the aliphatic -NH- group is hydrogen bond donor to Tyr394; (iii) the dimethyl-pyridine ring is involved in π-π stacking interactions with Trp281 and Phe391; (iv) the chlorine atom is involved in alkyl interactions </w:t>
      </w:r>
      <w:r>
        <w:rPr>
          <w:rFonts w:ascii="Times New Roman" w:eastAsia="MS Mincho" w:hAnsi="Times New Roman" w:cs="Times New Roman"/>
          <w:noProof/>
          <w:sz w:val="24"/>
          <w:szCs w:val="24"/>
          <w:lang w:val="en-US" w:eastAsia="ja-JP"/>
        </w:rPr>
        <w:t>with</w:t>
      </w:r>
      <w:r>
        <w:rPr>
          <w:rFonts w:ascii="Times New Roman" w:eastAsia="MS Mincho" w:hAnsi="Times New Roman" w:cs="Times New Roman"/>
          <w:sz w:val="24"/>
          <w:szCs w:val="24"/>
          <w:lang w:val="en-US" w:eastAsia="ja-JP"/>
        </w:rPr>
        <w:t xml:space="preserve"> Ile234, Leu522, </w:t>
      </w:r>
      <w:r>
        <w:rPr>
          <w:rFonts w:ascii="Times New Roman" w:eastAsia="MS Mincho" w:hAnsi="Times New Roman" w:cs="Times New Roman"/>
          <w:noProof/>
          <w:sz w:val="24"/>
          <w:szCs w:val="24"/>
          <w:lang w:val="en-US" w:eastAsia="ja-JP"/>
        </w:rPr>
        <w:t>and</w:t>
      </w:r>
      <w:r>
        <w:rPr>
          <w:rFonts w:ascii="Times New Roman" w:eastAsia="MS Mincho" w:hAnsi="Times New Roman" w:cs="Times New Roman"/>
          <w:sz w:val="24"/>
          <w:szCs w:val="24"/>
          <w:lang w:val="en-US" w:eastAsia="ja-JP"/>
        </w:rPr>
        <w:t xml:space="preserve"> Trp281 (Fig. 6a).</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The following main interactions were found when the compound was docked with Induced Fit protocol: (</w:t>
      </w:r>
      <w:proofErr w:type="spellStart"/>
      <w:r>
        <w:rPr>
          <w:rFonts w:ascii="Times New Roman" w:eastAsia="MS Mincho" w:hAnsi="Times New Roman" w:cs="Times New Roman"/>
          <w:sz w:val="24"/>
          <w:szCs w:val="24"/>
          <w:lang w:val="en-US" w:eastAsia="ja-JP"/>
        </w:rPr>
        <w:t>i</w:t>
      </w:r>
      <w:proofErr w:type="spellEnd"/>
      <w:r>
        <w:rPr>
          <w:rFonts w:ascii="Times New Roman" w:eastAsia="MS Mincho" w:hAnsi="Times New Roman" w:cs="Times New Roman"/>
          <w:sz w:val="24"/>
          <w:szCs w:val="24"/>
          <w:lang w:val="en-US" w:eastAsia="ja-JP"/>
        </w:rPr>
        <w:t xml:space="preserve">) the N= atom of </w:t>
      </w:r>
      <w:proofErr w:type="spellStart"/>
      <w:r>
        <w:rPr>
          <w:rFonts w:ascii="Times New Roman" w:eastAsia="MS Mincho" w:hAnsi="Times New Roman" w:cs="Times New Roman"/>
          <w:sz w:val="24"/>
          <w:szCs w:val="24"/>
          <w:lang w:val="en-US" w:eastAsia="ja-JP"/>
        </w:rPr>
        <w:t>dimethylpyridine</w:t>
      </w:r>
      <w:proofErr w:type="spellEnd"/>
      <w:r>
        <w:rPr>
          <w:rFonts w:ascii="Times New Roman" w:eastAsia="MS Mincho" w:hAnsi="Times New Roman" w:cs="Times New Roman"/>
          <w:sz w:val="24"/>
          <w:szCs w:val="24"/>
          <w:lang w:val="en-US" w:eastAsia="ja-JP"/>
        </w:rPr>
        <w:t xml:space="preserve"> is acting as hydrogen bond acceptor for Asn219; (ii) the -NH= group of </w:t>
      </w:r>
      <w:proofErr w:type="spellStart"/>
      <w:r>
        <w:rPr>
          <w:rFonts w:ascii="Times New Roman" w:eastAsia="MS Mincho" w:hAnsi="Times New Roman" w:cs="Times New Roman"/>
          <w:sz w:val="24"/>
          <w:szCs w:val="24"/>
          <w:lang w:val="en-US" w:eastAsia="ja-JP"/>
        </w:rPr>
        <w:t>chloropyridine</w:t>
      </w:r>
      <w:proofErr w:type="spellEnd"/>
      <w:r>
        <w:rPr>
          <w:rFonts w:ascii="Times New Roman" w:eastAsia="MS Mincho" w:hAnsi="Times New Roman" w:cs="Times New Roman"/>
          <w:sz w:val="24"/>
          <w:szCs w:val="24"/>
          <w:lang w:val="en-US" w:eastAsia="ja-JP"/>
        </w:rPr>
        <w:t xml:space="preserve"> is functioning as hydrogen bond donor to Glu518; and (iii) the pyridine ring is involved in π-π stacking interactions with Trp281 and His470 residues (Fig. 6b).</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Also, the ligand rings are involved in multiple hydrophobic interactions with residues of the binding site, e.g. Pro513, Trp281, Val386, Leu325, Met525, His470, Ser387 (Fig. 6a, 6b), leading to the stabilization of the ligand into the binding pocket. </w:t>
      </w:r>
    </w:p>
    <w:p>
      <w:pPr>
        <w:spacing w:after="0" w:line="360" w:lineRule="auto"/>
        <w:jc w:val="center"/>
        <w:rPr>
          <w:rFonts w:ascii="Times New Roman" w:eastAsia="MS Mincho" w:hAnsi="Times New Roman" w:cs="Times New Roman"/>
          <w:b/>
          <w:sz w:val="24"/>
          <w:szCs w:val="24"/>
          <w:lang w:eastAsia="ja-JP"/>
        </w:rPr>
      </w:pPr>
      <w:r>
        <w:rPr>
          <w:rFonts w:ascii="Times New Roman" w:eastAsia="MS Mincho" w:hAnsi="Times New Roman" w:cs="Times New Roman"/>
          <w:b/>
          <w:noProof/>
          <w:sz w:val="24"/>
          <w:szCs w:val="24"/>
          <w:lang w:eastAsia="en-GB"/>
        </w:rPr>
        <w:lastRenderedPageBreak/>
        <w:drawing>
          <wp:inline distT="0" distB="0" distL="0" distR="0">
            <wp:extent cx="4320540" cy="3316224"/>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6.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320540" cy="3316224"/>
                    </a:xfrm>
                    <a:prstGeom prst="rect">
                      <a:avLst/>
                    </a:prstGeom>
                  </pic:spPr>
                </pic:pic>
              </a:graphicData>
            </a:graphic>
          </wp:inline>
        </w:drawing>
      </w:r>
    </w:p>
    <w:p>
      <w:pPr>
        <w:spacing w:after="0" w:line="360" w:lineRule="auto"/>
        <w:ind w:firstLine="720"/>
        <w:jc w:val="center"/>
        <w:rPr>
          <w:rFonts w:ascii="Times New Roman" w:eastAsia="MS Mincho" w:hAnsi="Times New Roman" w:cs="Times New Roman"/>
          <w:sz w:val="24"/>
          <w:szCs w:val="24"/>
          <w:lang w:eastAsia="ja-JP"/>
        </w:rPr>
      </w:pPr>
      <w:r>
        <w:rPr>
          <w:rFonts w:ascii="Times New Roman" w:eastAsia="MS Mincho" w:hAnsi="Times New Roman" w:cs="Times New Roman"/>
          <w:b/>
          <w:sz w:val="24"/>
          <w:szCs w:val="24"/>
          <w:lang w:eastAsia="ja-JP"/>
        </w:rPr>
        <w:t>Fig. 6</w:t>
      </w:r>
      <w:r>
        <w:rPr>
          <w:rFonts w:ascii="Times New Roman" w:eastAsia="MS Mincho" w:hAnsi="Times New Roman" w:cs="Times New Roman"/>
          <w:sz w:val="24"/>
          <w:szCs w:val="24"/>
          <w:lang w:eastAsia="ja-JP"/>
        </w:rPr>
        <w:t xml:space="preserve">. Representation of the interactions map of the </w:t>
      </w:r>
      <w:r>
        <w:rPr>
          <w:rFonts w:ascii="Times New Roman" w:eastAsia="MS Mincho" w:hAnsi="Times New Roman" w:cs="Times New Roman"/>
          <w:noProof/>
          <w:sz w:val="24"/>
          <w:szCs w:val="24"/>
          <w:lang w:eastAsia="ja-JP"/>
        </w:rPr>
        <w:t>best docked</w:t>
      </w:r>
      <w:r>
        <w:rPr>
          <w:rFonts w:ascii="Times New Roman" w:eastAsia="MS Mincho" w:hAnsi="Times New Roman" w:cs="Times New Roman"/>
          <w:sz w:val="24"/>
          <w:szCs w:val="24"/>
          <w:lang w:eastAsia="ja-JP"/>
        </w:rPr>
        <w:t xml:space="preserve"> pose of compound </w:t>
      </w:r>
      <w:r>
        <w:rPr>
          <w:rFonts w:ascii="Times New Roman" w:eastAsia="MS Mincho" w:hAnsi="Times New Roman" w:cs="Times New Roman"/>
          <w:b/>
          <w:sz w:val="24"/>
          <w:szCs w:val="24"/>
          <w:lang w:eastAsia="ja-JP"/>
        </w:rPr>
        <w:t>17</w:t>
      </w:r>
      <w:r>
        <w:rPr>
          <w:rFonts w:ascii="Times New Roman" w:eastAsia="MS Mincho" w:hAnsi="Times New Roman" w:cs="Times New Roman"/>
          <w:sz w:val="24"/>
          <w:szCs w:val="24"/>
          <w:lang w:eastAsia="ja-JP"/>
        </w:rPr>
        <w:t xml:space="preserve"> with the amino acids of SMO human binding site: Glide docking (a); Induced Fit </w:t>
      </w:r>
      <w:r>
        <w:rPr>
          <w:rFonts w:ascii="Times New Roman" w:eastAsia="MS Mincho" w:hAnsi="Times New Roman" w:cs="Times New Roman"/>
          <w:noProof/>
          <w:sz w:val="24"/>
          <w:szCs w:val="24"/>
          <w:lang w:eastAsia="ja-JP"/>
        </w:rPr>
        <w:t>docking</w:t>
      </w:r>
      <w:r>
        <w:rPr>
          <w:rFonts w:ascii="Times New Roman" w:eastAsia="MS Mincho" w:hAnsi="Times New Roman" w:cs="Times New Roman"/>
          <w:sz w:val="24"/>
          <w:szCs w:val="24"/>
          <w:lang w:eastAsia="ja-JP"/>
        </w:rPr>
        <w:t xml:space="preserve"> (b); and their superposition in situs: orange for Glide and magenta for Induced Fit poses (c).</w:t>
      </w:r>
    </w:p>
    <w:p>
      <w:pPr>
        <w:spacing w:after="0" w:line="360" w:lineRule="auto"/>
        <w:jc w:val="center"/>
        <w:rPr>
          <w:rFonts w:ascii="Times New Roman" w:eastAsia="MS Mincho" w:hAnsi="Times New Roman" w:cs="Times New Roman"/>
          <w:b/>
          <w:sz w:val="24"/>
          <w:szCs w:val="24"/>
          <w:lang w:eastAsia="ja-JP"/>
        </w:rPr>
      </w:pPr>
    </w:p>
    <w:p>
      <w:pPr>
        <w:spacing w:after="0" w:line="36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The amino acids Arg400 and Tyr394 which interact with compound </w:t>
      </w:r>
      <w:r>
        <w:rPr>
          <w:rFonts w:ascii="Times New Roman" w:eastAsia="MS Mincho" w:hAnsi="Times New Roman" w:cs="Times New Roman"/>
          <w:b/>
          <w:sz w:val="24"/>
          <w:szCs w:val="24"/>
          <w:lang w:val="en-US" w:eastAsia="ja-JP"/>
        </w:rPr>
        <w:t>17</w:t>
      </w:r>
      <w:r>
        <w:rPr>
          <w:rFonts w:ascii="Times New Roman" w:eastAsia="MS Mincho" w:hAnsi="Times New Roman" w:cs="Times New Roman"/>
          <w:sz w:val="24"/>
          <w:szCs w:val="24"/>
          <w:lang w:val="en-US" w:eastAsia="ja-JP"/>
        </w:rPr>
        <w:t>, are also known to be important for the interaction with others SMO antagonists. The relevance of these two amino acids in the antagonistic binding is supported by crystallographic studies</w:t>
      </w:r>
      <w:r>
        <w:rPr>
          <w:rFonts w:ascii="Times New Roman" w:eastAsia="MS Mincho" w:hAnsi="Times New Roman" w:cs="Times New Roman"/>
          <w:color w:val="FF0000"/>
          <w:sz w:val="24"/>
          <w:szCs w:val="24"/>
          <w:vertAlign w:val="superscript"/>
          <w:lang w:val="en-US" w:eastAsia="ja-JP"/>
        </w:rPr>
        <w:t>36-38</w:t>
      </w:r>
      <w:r>
        <w:rPr>
          <w:rFonts w:ascii="Times New Roman" w:eastAsia="MS Mincho" w:hAnsi="Times New Roman" w:cs="Times New Roman"/>
          <w:sz w:val="24"/>
          <w:szCs w:val="24"/>
          <w:lang w:val="en-US" w:eastAsia="ja-JP"/>
        </w:rPr>
        <w:t>.</w:t>
      </w:r>
    </w:p>
    <w:p>
      <w:pPr>
        <w:spacing w:after="0" w:line="360" w:lineRule="auto"/>
        <w:ind w:firstLine="720"/>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It can be seen from the Fig. 6b that three pharmacophore features of the four of AAHR.524 hypothesis are recapitulated in the best docking pose resulted from Induced Fit, only the interaction with the acceptor (A3) is missing. </w:t>
      </w:r>
    </w:p>
    <w:p>
      <w:pPr>
        <w:spacing w:after="0" w:line="360" w:lineRule="auto"/>
        <w:jc w:val="both"/>
        <w:rPr>
          <w:rFonts w:ascii="Times New Roman" w:eastAsia="MS Mincho" w:hAnsi="Times New Roman" w:cs="Times New Roman"/>
          <w:b/>
          <w:sz w:val="24"/>
          <w:szCs w:val="24"/>
          <w:lang w:eastAsia="ja-JP"/>
        </w:rPr>
      </w:pPr>
    </w:p>
    <w:p>
      <w:pPr>
        <w:spacing w:after="0" w:line="360" w:lineRule="auto"/>
        <w:jc w:val="center"/>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CONCLUSIONS</w:t>
      </w:r>
    </w:p>
    <w:p>
      <w:pPr>
        <w:spacing w:after="0" w:line="360" w:lineRule="auto"/>
        <w:jc w:val="both"/>
        <w:rPr>
          <w:rFonts w:ascii="Times New Roman" w:eastAsia="MS Mincho" w:hAnsi="Times New Roman" w:cs="Times New Roman"/>
          <w:sz w:val="24"/>
          <w:szCs w:val="24"/>
          <w:lang w:val="en-US" w:eastAsia="ja-JP"/>
        </w:rPr>
      </w:pPr>
      <w:r>
        <w:rPr>
          <w:rFonts w:ascii="Times New Roman" w:eastAsia="MS Mincho" w:hAnsi="Times New Roman" w:cs="Times New Roman"/>
          <w:sz w:val="24"/>
          <w:szCs w:val="24"/>
          <w:lang w:val="en-US" w:eastAsia="ja-JP"/>
        </w:rPr>
        <w:t xml:space="preserve">In order to discover the common features of inhibitors of SMO receptor with potential anticancer benefits, ligand-based pharmacophore models were </w:t>
      </w:r>
      <w:r>
        <w:rPr>
          <w:rFonts w:ascii="Times New Roman" w:eastAsia="MS Mincho" w:hAnsi="Times New Roman" w:cs="Times New Roman"/>
          <w:noProof/>
          <w:sz w:val="24"/>
          <w:szCs w:val="24"/>
          <w:lang w:val="en-US" w:eastAsia="ja-JP"/>
        </w:rPr>
        <w:t>first</w:t>
      </w:r>
      <w:r>
        <w:rPr>
          <w:rFonts w:ascii="Times New Roman" w:eastAsia="MS Mincho" w:hAnsi="Times New Roman" w:cs="Times New Roman"/>
          <w:sz w:val="24"/>
          <w:szCs w:val="24"/>
          <w:lang w:val="en-US" w:eastAsia="ja-JP"/>
        </w:rPr>
        <w:t xml:space="preserve"> generated. The best pharmacophore hypothesis turned out to be AAHR.524, with the following characteristics: two hydrogen bond acceptors (A), one hydrophobic (H) site and one aromatic ring (R). The pharmacophore hypothesis was found to be statistically significant with a correlation coefficient, R</w:t>
      </w:r>
      <w:r>
        <w:rPr>
          <w:rFonts w:ascii="Times New Roman" w:eastAsia="MS Mincho" w:hAnsi="Times New Roman" w:cs="Times New Roman"/>
          <w:sz w:val="24"/>
          <w:szCs w:val="24"/>
          <w:vertAlign w:val="superscript"/>
          <w:lang w:val="en-US" w:eastAsia="ja-JP"/>
        </w:rPr>
        <w:t>2</w:t>
      </w:r>
      <w:r>
        <w:rPr>
          <w:rFonts w:ascii="Times New Roman" w:eastAsia="MS Mincho" w:hAnsi="Times New Roman" w:cs="Times New Roman"/>
          <w:sz w:val="24"/>
          <w:szCs w:val="24"/>
          <w:lang w:val="en-US" w:eastAsia="ja-JP"/>
        </w:rPr>
        <w:t xml:space="preserve"> of 0.859 for the training set and a correlation coefficient, Q</w:t>
      </w:r>
      <w:r>
        <w:rPr>
          <w:rFonts w:ascii="Times New Roman" w:eastAsia="MS Mincho" w:hAnsi="Times New Roman" w:cs="Times New Roman"/>
          <w:sz w:val="24"/>
          <w:szCs w:val="24"/>
          <w:vertAlign w:val="superscript"/>
          <w:lang w:val="en-US" w:eastAsia="ja-JP"/>
        </w:rPr>
        <w:t>2</w:t>
      </w:r>
      <w:r>
        <w:rPr>
          <w:rFonts w:ascii="Times New Roman" w:eastAsia="MS Mincho" w:hAnsi="Times New Roman" w:cs="Times New Roman"/>
          <w:sz w:val="24"/>
          <w:szCs w:val="24"/>
          <w:lang w:val="en-US" w:eastAsia="ja-JP"/>
        </w:rPr>
        <w:t xml:space="preserve"> of 0.611 for the test set. Virtual screening experiments and molecular docking were involved </w:t>
      </w:r>
      <w:r>
        <w:rPr>
          <w:rFonts w:ascii="Times New Roman" w:eastAsia="MS Mincho" w:hAnsi="Times New Roman" w:cs="Times New Roman"/>
          <w:noProof/>
          <w:sz w:val="24"/>
          <w:szCs w:val="24"/>
          <w:lang w:val="en-US" w:eastAsia="ja-JP"/>
        </w:rPr>
        <w:t>in</w:t>
      </w:r>
      <w:r>
        <w:rPr>
          <w:rFonts w:ascii="Times New Roman" w:eastAsia="MS Mincho" w:hAnsi="Times New Roman" w:cs="Times New Roman"/>
          <w:sz w:val="24"/>
          <w:szCs w:val="24"/>
          <w:lang w:val="en-US" w:eastAsia="ja-JP"/>
        </w:rPr>
        <w:t xml:space="preserve"> the evaluation of the models and to gain insights into the ligand-receptor interaction profile. Considering the large size of the binding site, as well as the different binding patterns of inhibitors to the site, </w:t>
      </w:r>
      <w:r>
        <w:rPr>
          <w:rFonts w:ascii="Times New Roman" w:eastAsia="MS Mincho" w:hAnsi="Times New Roman" w:cs="Times New Roman"/>
          <w:sz w:val="24"/>
          <w:szCs w:val="24"/>
          <w:lang w:val="en-US" w:eastAsia="ja-JP"/>
        </w:rPr>
        <w:lastRenderedPageBreak/>
        <w:t xml:space="preserve">our pharmacophore model being built on a congeneric series of inhibitors it is assumed to lead to increased specificity and reduced diversity in virtual screening experiments. However, we can say that the pharmacophore model was validated through a </w:t>
      </w:r>
      <w:r>
        <w:rPr>
          <w:rFonts w:ascii="Times New Roman" w:eastAsia="MS Mincho" w:hAnsi="Times New Roman" w:cs="Times New Roman"/>
          <w:noProof/>
          <w:sz w:val="24"/>
          <w:szCs w:val="24"/>
          <w:lang w:val="en-US" w:eastAsia="ja-JP"/>
        </w:rPr>
        <w:t>virtual</w:t>
      </w:r>
      <w:r>
        <w:rPr>
          <w:rFonts w:ascii="Times New Roman" w:eastAsia="MS Mincho" w:hAnsi="Times New Roman" w:cs="Times New Roman"/>
          <w:sz w:val="24"/>
          <w:szCs w:val="24"/>
          <w:lang w:val="en-US" w:eastAsia="ja-JP"/>
        </w:rPr>
        <w:t xml:space="preserve"> screening experiment with reliable values of the evaluation metrics, e.g. AUC of 0.795, and enrichment factors. In addition, it can be seen that our docking results reproduce the main interactions with key residues (e.g. Asn219, Arg400, Tyr394, Asp384) found in the x-ray crystal structure (PDB ID: 4jkv). Between the two docking approaches used: Glide and Induced Fit, the last one which accounts also for protein flexibility </w:t>
      </w:r>
      <w:r>
        <w:rPr>
          <w:rFonts w:ascii="Times New Roman" w:eastAsia="MS Mincho" w:hAnsi="Times New Roman" w:cs="Times New Roman"/>
          <w:noProof/>
          <w:sz w:val="24"/>
          <w:szCs w:val="24"/>
          <w:lang w:val="en-US" w:eastAsia="ja-JP"/>
        </w:rPr>
        <w:t>has</w:t>
      </w:r>
      <w:r>
        <w:rPr>
          <w:rFonts w:ascii="Times New Roman" w:eastAsia="MS Mincho" w:hAnsi="Times New Roman" w:cs="Times New Roman"/>
          <w:sz w:val="24"/>
          <w:szCs w:val="24"/>
          <w:lang w:val="en-US" w:eastAsia="ja-JP"/>
        </w:rPr>
        <w:t xml:space="preserve"> led to better results. The validated pharmacophore model obtained suggest that it could be reliably used in predicting novel, promising inhibitors against SMO receptor with potential anticancer activity.</w:t>
      </w:r>
    </w:p>
    <w:p>
      <w:pPr>
        <w:spacing w:after="0" w:line="360" w:lineRule="auto"/>
        <w:jc w:val="both"/>
        <w:rPr>
          <w:rFonts w:ascii="Times New Roman" w:eastAsia="MS Mincho" w:hAnsi="Times New Roman" w:cs="Times New Roman"/>
          <w:b/>
          <w:sz w:val="24"/>
          <w:szCs w:val="24"/>
          <w:lang w:eastAsia="ja-JP"/>
        </w:rPr>
      </w:pPr>
    </w:p>
    <w:p>
      <w:pPr>
        <w:spacing w:after="0" w:line="360" w:lineRule="auto"/>
        <w:jc w:val="both"/>
        <w:rPr>
          <w:rFonts w:ascii="Times New Roman" w:eastAsia="MS Mincho" w:hAnsi="Times New Roman" w:cs="Times New Roman"/>
          <w:i/>
          <w:color w:val="FF0000"/>
          <w:sz w:val="24"/>
          <w:szCs w:val="24"/>
          <w:lang w:eastAsia="ja-JP"/>
        </w:rPr>
      </w:pPr>
      <w:r>
        <w:rPr>
          <w:rFonts w:ascii="Times New Roman" w:eastAsia="MS Mincho" w:hAnsi="Times New Roman" w:cs="Times New Roman"/>
          <w:i/>
          <w:noProof/>
          <w:sz w:val="24"/>
          <w:szCs w:val="24"/>
          <w:lang w:eastAsia="ja-JP"/>
        </w:rPr>
        <w:t>Acknowledgments</w:t>
      </w:r>
      <w:r>
        <w:rPr>
          <w:rFonts w:ascii="Times New Roman" w:eastAsia="MS Mincho" w:hAnsi="Times New Roman" w:cs="Times New Roman"/>
          <w:i/>
          <w:sz w:val="24"/>
          <w:szCs w:val="24"/>
          <w:lang w:eastAsia="ja-JP"/>
        </w:rPr>
        <w:t xml:space="preserve"> </w:t>
      </w:r>
    </w:p>
    <w:p>
      <w:pPr>
        <w:spacing w:after="0" w:line="360" w:lineRule="auto"/>
        <w:jc w:val="both"/>
        <w:rPr>
          <w:rFonts w:ascii="Times New Roman" w:eastAsia="MS Mincho" w:hAnsi="Times New Roman" w:cs="Times New Roman"/>
          <w:sz w:val="24"/>
          <w:szCs w:val="24"/>
          <w:lang w:val="de-DE" w:eastAsia="ja-JP"/>
        </w:rPr>
      </w:pPr>
      <w:r>
        <w:rPr>
          <w:rFonts w:ascii="Times New Roman" w:eastAsia="MS Mincho" w:hAnsi="Times New Roman" w:cs="Times New Roman"/>
          <w:sz w:val="24"/>
          <w:szCs w:val="24"/>
          <w:lang w:val="de-DE" w:eastAsia="ja-JP"/>
        </w:rPr>
        <w:t xml:space="preserve">This project was financially </w:t>
      </w:r>
      <w:bookmarkStart w:id="0" w:name="_GoBack"/>
      <w:r>
        <w:rPr>
          <w:rFonts w:ascii="Times New Roman" w:eastAsia="MS Mincho" w:hAnsi="Times New Roman" w:cs="Times New Roman"/>
          <w:sz w:val="24"/>
          <w:szCs w:val="24"/>
          <w:lang w:val="de-DE" w:eastAsia="ja-JP"/>
        </w:rPr>
        <w:t>supp</w:t>
      </w:r>
      <w:bookmarkEnd w:id="0"/>
      <w:r>
        <w:rPr>
          <w:rFonts w:ascii="Times New Roman" w:eastAsia="MS Mincho" w:hAnsi="Times New Roman" w:cs="Times New Roman"/>
          <w:sz w:val="24"/>
          <w:szCs w:val="24"/>
          <w:lang w:val="de-DE" w:eastAsia="ja-JP"/>
        </w:rPr>
        <w:t xml:space="preserve">orted by Project 1.1 of the </w:t>
      </w:r>
      <w:r>
        <w:rPr>
          <w:rFonts w:ascii="Times New Roman" w:hAnsi="Times New Roman" w:cs="Times New Roman"/>
          <w:sz w:val="24"/>
          <w:szCs w:val="24"/>
        </w:rPr>
        <w:t>“</w:t>
      </w:r>
      <w:proofErr w:type="spellStart"/>
      <w:r>
        <w:rPr>
          <w:rFonts w:ascii="Times New Roman" w:hAnsi="Times New Roman" w:cs="Times New Roman"/>
          <w:sz w:val="24"/>
          <w:szCs w:val="24"/>
        </w:rPr>
        <w:t>Coriolan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Dragulescu</w:t>
      </w:r>
      <w:proofErr w:type="spellEnd"/>
      <w:r>
        <w:rPr>
          <w:rFonts w:ascii="Times New Roman" w:hAnsi="Times New Roman" w:cs="Times New Roman"/>
          <w:sz w:val="24"/>
          <w:szCs w:val="24"/>
        </w:rPr>
        <w:t xml:space="preserve">” Institute of Chemistry, Romanian </w:t>
      </w:r>
      <w:proofErr w:type="spellStart"/>
      <w:r>
        <w:rPr>
          <w:rFonts w:ascii="Times New Roman" w:hAnsi="Times New Roman" w:cs="Times New Roman"/>
          <w:sz w:val="24"/>
          <w:szCs w:val="24"/>
        </w:rPr>
        <w:t>Acdemy</w:t>
      </w:r>
      <w:proofErr w:type="spellEnd"/>
      <w:r>
        <w:rPr>
          <w:rFonts w:ascii="Times New Roman" w:eastAsia="MS Mincho" w:hAnsi="Times New Roman" w:cs="Times New Roman"/>
          <w:sz w:val="24"/>
          <w:szCs w:val="24"/>
          <w:lang w:val="de-DE" w:eastAsia="ja-JP"/>
        </w:rPr>
        <w:t xml:space="preserve">. The authors thank </w:t>
      </w:r>
      <w:r>
        <w:rPr>
          <w:rFonts w:ascii="Times New Roman" w:eastAsia="MS Mincho" w:hAnsi="Times New Roman" w:cs="Times New Roman"/>
          <w:noProof/>
          <w:sz w:val="24"/>
          <w:szCs w:val="24"/>
          <w:lang w:val="de-DE" w:eastAsia="ja-JP"/>
        </w:rPr>
        <w:t>to</w:t>
      </w:r>
      <w:r>
        <w:rPr>
          <w:rFonts w:ascii="Times New Roman" w:eastAsia="MS Mincho" w:hAnsi="Times New Roman" w:cs="Times New Roman"/>
          <w:sz w:val="24"/>
          <w:szCs w:val="24"/>
          <w:lang w:val="de-DE" w:eastAsia="ja-JP"/>
        </w:rPr>
        <w:t xml:space="preserve"> the Chemaxon Ltd. and OpenEye Ltd. for providing an </w:t>
      </w:r>
      <w:r>
        <w:rPr>
          <w:rFonts w:ascii="Times New Roman" w:eastAsia="MS Mincho" w:hAnsi="Times New Roman" w:cs="Times New Roman"/>
          <w:noProof/>
          <w:sz w:val="24"/>
          <w:szCs w:val="24"/>
          <w:lang w:val="de-DE" w:eastAsia="ja-JP"/>
        </w:rPr>
        <w:t>academic</w:t>
      </w:r>
      <w:r>
        <w:rPr>
          <w:rFonts w:ascii="Times New Roman" w:eastAsia="MS Mincho" w:hAnsi="Times New Roman" w:cs="Times New Roman"/>
          <w:sz w:val="24"/>
          <w:szCs w:val="24"/>
          <w:lang w:val="de-DE" w:eastAsia="ja-JP"/>
        </w:rPr>
        <w:t xml:space="preserve"> license.</w:t>
      </w:r>
    </w:p>
    <w:p>
      <w:pPr>
        <w:spacing w:after="0" w:line="360" w:lineRule="auto"/>
        <w:jc w:val="both"/>
        <w:rPr>
          <w:rFonts w:ascii="Times New Roman" w:eastAsia="MS Mincho" w:hAnsi="Times New Roman" w:cs="Times New Roman"/>
          <w:b/>
          <w:sz w:val="24"/>
          <w:szCs w:val="24"/>
          <w:lang w:eastAsia="ja-JP"/>
        </w:rPr>
      </w:pPr>
    </w:p>
    <w:p>
      <w:pPr>
        <w:spacing w:after="0" w:line="360" w:lineRule="auto"/>
        <w:jc w:val="both"/>
        <w:rPr>
          <w:rFonts w:ascii="Times New Roman" w:eastAsia="MS Mincho" w:hAnsi="Times New Roman" w:cs="Times New Roman"/>
          <w:i/>
          <w:sz w:val="24"/>
          <w:szCs w:val="24"/>
          <w:lang w:eastAsia="ja-JP"/>
        </w:rPr>
      </w:pPr>
      <w:r>
        <w:rPr>
          <w:rFonts w:ascii="Times New Roman" w:eastAsia="MS Mincho" w:hAnsi="Times New Roman" w:cs="Times New Roman"/>
          <w:i/>
          <w:sz w:val="24"/>
          <w:szCs w:val="24"/>
          <w:lang w:eastAsia="ja-JP"/>
        </w:rPr>
        <w:t>Conflict of Interest</w:t>
      </w:r>
    </w:p>
    <w:p>
      <w:pPr>
        <w:spacing w:after="0" w:line="360" w:lineRule="auto"/>
        <w:jc w:val="both"/>
        <w:rPr>
          <w:rFonts w:ascii="Times New Roman" w:eastAsia="MS Mincho" w:hAnsi="Times New Roman" w:cs="Times New Roman"/>
          <w:sz w:val="24"/>
          <w:szCs w:val="24"/>
          <w:lang w:eastAsia="ja-JP"/>
        </w:rPr>
      </w:pPr>
      <w:r>
        <w:rPr>
          <w:rFonts w:ascii="Times New Roman" w:eastAsia="MS Mincho" w:hAnsi="Times New Roman" w:cs="Times New Roman"/>
          <w:sz w:val="24"/>
          <w:szCs w:val="24"/>
          <w:lang w:eastAsia="ja-JP"/>
        </w:rPr>
        <w:t>The authors declare no conflict of interest.</w:t>
      </w:r>
    </w:p>
    <w:p>
      <w:pPr>
        <w:spacing w:after="0" w:line="360" w:lineRule="auto"/>
        <w:jc w:val="both"/>
        <w:rPr>
          <w:rFonts w:ascii="Times New Roman" w:eastAsia="MS Mincho" w:hAnsi="Times New Roman" w:cs="Times New Roman"/>
          <w:b/>
          <w:sz w:val="24"/>
          <w:szCs w:val="24"/>
          <w:lang w:eastAsia="ja-JP"/>
        </w:rPr>
      </w:pPr>
    </w:p>
    <w:p>
      <w:pPr>
        <w:spacing w:after="0" w:line="360" w:lineRule="auto"/>
        <w:ind w:left="714" w:hanging="357"/>
        <w:jc w:val="center"/>
        <w:rPr>
          <w:rFonts w:ascii="Times New Roman" w:hAnsi="Times New Roman" w:cs="Times New Roman"/>
          <w:sz w:val="24"/>
          <w:szCs w:val="24"/>
        </w:rPr>
      </w:pPr>
      <w:r>
        <w:rPr>
          <w:rFonts w:ascii="Times New Roman" w:hAnsi="Times New Roman" w:cs="Times New Roman"/>
          <w:sz w:val="24"/>
          <w:szCs w:val="24"/>
        </w:rPr>
        <w:t>REFERENCES</w:t>
      </w:r>
    </w:p>
    <w:p>
      <w:pPr>
        <w:pStyle w:val="ListParagraph"/>
        <w:numPr>
          <w:ilvl w:val="0"/>
          <w:numId w:val="1"/>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M. </w:t>
      </w:r>
      <w:proofErr w:type="spellStart"/>
      <w:r>
        <w:rPr>
          <w:rFonts w:ascii="Times New Roman" w:hAnsi="Times New Roman" w:cs="Times New Roman"/>
          <w:sz w:val="24"/>
          <w:szCs w:val="24"/>
        </w:rPr>
        <w:t>Ruat</w:t>
      </w:r>
      <w:proofErr w:type="spellEnd"/>
      <w:r>
        <w:rPr>
          <w:rFonts w:ascii="Times New Roman" w:hAnsi="Times New Roman" w:cs="Times New Roman"/>
          <w:sz w:val="24"/>
          <w:szCs w:val="24"/>
        </w:rPr>
        <w:t xml:space="preserve">, L. Hoch, Smoothened Inhibitors in Cancer. In: </w:t>
      </w:r>
      <w:proofErr w:type="spellStart"/>
      <w:r>
        <w:rPr>
          <w:rFonts w:ascii="Times New Roman" w:hAnsi="Times New Roman" w:cs="Times New Roman"/>
          <w:sz w:val="24"/>
          <w:szCs w:val="24"/>
        </w:rPr>
        <w:t>Ruat</w:t>
      </w:r>
      <w:proofErr w:type="spellEnd"/>
      <w:r>
        <w:rPr>
          <w:rFonts w:ascii="Times New Roman" w:hAnsi="Times New Roman" w:cs="Times New Roman"/>
          <w:sz w:val="24"/>
          <w:szCs w:val="24"/>
        </w:rPr>
        <w:t xml:space="preserve"> M, ed. </w:t>
      </w:r>
      <w:r>
        <w:rPr>
          <w:rFonts w:ascii="Times New Roman" w:hAnsi="Times New Roman" w:cs="Times New Roman"/>
          <w:i/>
          <w:sz w:val="24"/>
          <w:szCs w:val="24"/>
        </w:rPr>
        <w:t>The Smoothened Receptor in Cancer and Regenerative Medicine</w:t>
      </w:r>
      <w:r>
        <w:rPr>
          <w:rFonts w:ascii="Times New Roman" w:hAnsi="Times New Roman" w:cs="Times New Roman"/>
          <w:sz w:val="24"/>
          <w:szCs w:val="24"/>
        </w:rPr>
        <w:t>, Springer, 2015, p. 1-11 (ISBN 978-3-319-19755-5)</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G. </w:t>
      </w:r>
      <w:proofErr w:type="spellStart"/>
      <w:r>
        <w:rPr>
          <w:rFonts w:ascii="Times New Roman" w:hAnsi="Times New Roman" w:cs="Times New Roman"/>
          <w:sz w:val="24"/>
          <w:szCs w:val="24"/>
        </w:rPr>
        <w:t>Liapakis</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Cordomí</w:t>
      </w:r>
      <w:proofErr w:type="spellEnd"/>
      <w:r>
        <w:rPr>
          <w:rFonts w:ascii="Times New Roman" w:hAnsi="Times New Roman" w:cs="Times New Roman"/>
          <w:sz w:val="24"/>
          <w:szCs w:val="24"/>
        </w:rPr>
        <w:t xml:space="preserve">, L. Pardo, </w:t>
      </w:r>
      <w:proofErr w:type="spellStart"/>
      <w:r>
        <w:rPr>
          <w:rFonts w:ascii="Times New Roman" w:hAnsi="Times New Roman" w:cs="Times New Roman"/>
          <w:bCs/>
          <w:i/>
          <w:iCs/>
          <w:sz w:val="24"/>
          <w:szCs w:val="24"/>
        </w:rPr>
        <w:t>Curr</w:t>
      </w:r>
      <w:proofErr w:type="spellEnd"/>
      <w:r>
        <w:rPr>
          <w:rFonts w:ascii="Times New Roman" w:hAnsi="Times New Roman" w:cs="Times New Roman"/>
          <w:bCs/>
          <w:i/>
          <w:iCs/>
          <w:sz w:val="24"/>
          <w:szCs w:val="24"/>
        </w:rPr>
        <w:t xml:space="preserve">. Pharm. Des. </w:t>
      </w:r>
      <w:r>
        <w:rPr>
          <w:rFonts w:ascii="Times New Roman" w:hAnsi="Times New Roman" w:cs="Times New Roman"/>
          <w:b/>
          <w:bCs/>
          <w:iCs/>
          <w:sz w:val="24"/>
          <w:szCs w:val="24"/>
        </w:rPr>
        <w:t>18</w:t>
      </w:r>
      <w:r>
        <w:rPr>
          <w:rFonts w:ascii="Times New Roman" w:hAnsi="Times New Roman" w:cs="Times New Roman"/>
          <w:bCs/>
          <w:i/>
          <w:iCs/>
          <w:sz w:val="24"/>
          <w:szCs w:val="24"/>
        </w:rPr>
        <w:t xml:space="preserve"> </w:t>
      </w:r>
      <w:r>
        <w:rPr>
          <w:rFonts w:ascii="Times New Roman" w:hAnsi="Times New Roman" w:cs="Times New Roman"/>
          <w:sz w:val="24"/>
          <w:szCs w:val="24"/>
        </w:rPr>
        <w:t>(2012) 175 (</w:t>
      </w:r>
      <w:hyperlink r:id="rId28" w:tgtFrame="_blank" w:history="1">
        <w:r>
          <w:rPr>
            <w:rStyle w:val="Hyperlink"/>
            <w:rFonts w:ascii="Times New Roman" w:hAnsi="Times New Roman" w:cs="Times New Roman"/>
            <w:sz w:val="24"/>
            <w:szCs w:val="24"/>
          </w:rPr>
          <w:t>http://dx.doi.org/10.2174/138161212799040529</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Hilger</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Masureel</w:t>
      </w:r>
      <w:proofErr w:type="spellEnd"/>
      <w:r>
        <w:rPr>
          <w:rFonts w:ascii="Times New Roman" w:hAnsi="Times New Roman" w:cs="Times New Roman"/>
          <w:sz w:val="24"/>
          <w:szCs w:val="24"/>
        </w:rPr>
        <w:t xml:space="preserve">, B. K. </w:t>
      </w:r>
      <w:proofErr w:type="spellStart"/>
      <w:r>
        <w:rPr>
          <w:rFonts w:ascii="Times New Roman" w:hAnsi="Times New Roman" w:cs="Times New Roman"/>
          <w:sz w:val="24"/>
          <w:szCs w:val="24"/>
        </w:rPr>
        <w:t>Kobilka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Nat. </w:t>
      </w:r>
      <w:proofErr w:type="spellStart"/>
      <w:r>
        <w:rPr>
          <w:rFonts w:ascii="Times New Roman" w:hAnsi="Times New Roman" w:cs="Times New Roman"/>
          <w:i/>
          <w:sz w:val="24"/>
          <w:szCs w:val="24"/>
        </w:rPr>
        <w:t>Struct</w:t>
      </w:r>
      <w:proofErr w:type="spellEnd"/>
      <w:r>
        <w:rPr>
          <w:rFonts w:ascii="Times New Roman" w:hAnsi="Times New Roman" w:cs="Times New Roman"/>
          <w:i/>
          <w:sz w:val="24"/>
          <w:szCs w:val="24"/>
        </w:rPr>
        <w:t>. Mol. Biol.</w:t>
      </w:r>
      <w:r>
        <w:rPr>
          <w:rFonts w:ascii="Times New Roman" w:hAnsi="Times New Roman" w:cs="Times New Roman"/>
          <w:sz w:val="24"/>
          <w:szCs w:val="24"/>
        </w:rPr>
        <w:t xml:space="preserve"> </w:t>
      </w:r>
      <w:r>
        <w:rPr>
          <w:rFonts w:ascii="Times New Roman" w:hAnsi="Times New Roman" w:cs="Times New Roman"/>
          <w:b/>
          <w:sz w:val="24"/>
          <w:szCs w:val="24"/>
        </w:rPr>
        <w:t xml:space="preserve">25 </w:t>
      </w:r>
      <w:r>
        <w:rPr>
          <w:rFonts w:ascii="Times New Roman" w:hAnsi="Times New Roman" w:cs="Times New Roman"/>
          <w:sz w:val="24"/>
          <w:szCs w:val="24"/>
        </w:rPr>
        <w:t>(2018) 4 (</w:t>
      </w:r>
      <w:hyperlink r:id="rId29" w:tgtFrame="_blank" w:history="1">
        <w:r>
          <w:rPr>
            <w:rStyle w:val="Hyperlink"/>
            <w:rFonts w:ascii="Times New Roman" w:hAnsi="Times New Roman" w:cs="Times New Roman"/>
            <w:sz w:val="24"/>
            <w:szCs w:val="24"/>
          </w:rPr>
          <w:t>http://dx.doi.org/10.1038/s41594-017-0011-7</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J. </w:t>
      </w:r>
      <w:proofErr w:type="spellStart"/>
      <w:r>
        <w:rPr>
          <w:rFonts w:ascii="Times New Roman" w:hAnsi="Times New Roman" w:cs="Times New Roman"/>
          <w:sz w:val="24"/>
          <w:szCs w:val="24"/>
        </w:rPr>
        <w:t>Shonberg</w:t>
      </w:r>
      <w:proofErr w:type="spellEnd"/>
      <w:r>
        <w:rPr>
          <w:rFonts w:ascii="Times New Roman" w:hAnsi="Times New Roman" w:cs="Times New Roman"/>
          <w:sz w:val="24"/>
          <w:szCs w:val="24"/>
        </w:rPr>
        <w:t xml:space="preserve">, R. C. Kling, P. </w:t>
      </w:r>
      <w:proofErr w:type="spellStart"/>
      <w:r>
        <w:rPr>
          <w:rFonts w:ascii="Times New Roman" w:hAnsi="Times New Roman" w:cs="Times New Roman"/>
          <w:sz w:val="24"/>
          <w:szCs w:val="24"/>
        </w:rPr>
        <w:t>Gmeiner</w:t>
      </w:r>
      <w:proofErr w:type="spellEnd"/>
      <w:r>
        <w:rPr>
          <w:rFonts w:ascii="Times New Roman" w:hAnsi="Times New Roman" w:cs="Times New Roman"/>
          <w:sz w:val="24"/>
          <w:szCs w:val="24"/>
        </w:rPr>
        <w:t>, S.</w:t>
      </w:r>
      <w:r>
        <w:rPr>
          <w:rFonts w:ascii="Times New Roman" w:hAnsi="Times New Roman" w:cs="Times New Roman"/>
          <w:color w:val="000000"/>
          <w:sz w:val="24"/>
          <w:szCs w:val="24"/>
        </w:rPr>
        <w:t xml:space="preserve"> </w:t>
      </w:r>
      <w:proofErr w:type="spellStart"/>
      <w:r>
        <w:rPr>
          <w:rFonts w:ascii="Times New Roman" w:hAnsi="Times New Roman" w:cs="Times New Roman"/>
          <w:sz w:val="24"/>
          <w:szCs w:val="24"/>
        </w:rPr>
        <w:t>Löber</w:t>
      </w:r>
      <w:proofErr w:type="spellEnd"/>
      <w:r>
        <w:rPr>
          <w:rFonts w:ascii="Times New Roman" w:hAnsi="Times New Roman" w:cs="Times New Roman"/>
          <w:sz w:val="24"/>
          <w:szCs w:val="24"/>
        </w:rPr>
        <w:t xml:space="preserve">, </w:t>
      </w:r>
      <w:proofErr w:type="spellStart"/>
      <w:r>
        <w:rPr>
          <w:rFonts w:ascii="Times New Roman" w:hAnsi="Times New Roman" w:cs="Times New Roman"/>
          <w:i/>
          <w:sz w:val="24"/>
          <w:szCs w:val="24"/>
        </w:rPr>
        <w:t>Bioorg</w:t>
      </w:r>
      <w:proofErr w:type="spellEnd"/>
      <w:r>
        <w:rPr>
          <w:rFonts w:ascii="Times New Roman" w:hAnsi="Times New Roman" w:cs="Times New Roman"/>
          <w:i/>
          <w:sz w:val="24"/>
          <w:szCs w:val="24"/>
        </w:rPr>
        <w:t>. Med. Chem.</w:t>
      </w:r>
      <w:r>
        <w:rPr>
          <w:rFonts w:ascii="Times New Roman" w:hAnsi="Times New Roman" w:cs="Times New Roman"/>
          <w:sz w:val="24"/>
          <w:szCs w:val="24"/>
        </w:rPr>
        <w:t xml:space="preserve"> </w:t>
      </w:r>
      <w:r>
        <w:rPr>
          <w:rFonts w:ascii="Times New Roman" w:hAnsi="Times New Roman" w:cs="Times New Roman"/>
          <w:b/>
          <w:sz w:val="24"/>
          <w:szCs w:val="24"/>
        </w:rPr>
        <w:t>23</w:t>
      </w:r>
      <w:r>
        <w:rPr>
          <w:rFonts w:ascii="Times New Roman" w:hAnsi="Times New Roman" w:cs="Times New Roman"/>
          <w:sz w:val="24"/>
          <w:szCs w:val="24"/>
        </w:rPr>
        <w:t xml:space="preserve"> (2015) 3880 (</w:t>
      </w:r>
      <w:hyperlink r:id="rId30" w:tgtFrame="_blank" w:history="1">
        <w:r>
          <w:rPr>
            <w:rStyle w:val="Hyperlink"/>
            <w:rFonts w:ascii="Times New Roman" w:hAnsi="Times New Roman" w:cs="Times New Roman"/>
            <w:sz w:val="24"/>
            <w:szCs w:val="24"/>
          </w:rPr>
          <w:t>http://dx.doi.org/10.1016/j.bmc.2014.12.034</w:t>
        </w:r>
      </w:hyperlink>
      <w:r>
        <w:rPr>
          <w:rFonts w:ascii="Times New Roman" w:hAnsi="Times New Roman" w:cs="Times New Roman"/>
          <w:sz w:val="24"/>
          <w:szCs w:val="24"/>
        </w:rPr>
        <w:t>)</w:t>
      </w:r>
    </w:p>
    <w:p>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 </w:t>
      </w:r>
      <w:proofErr w:type="spellStart"/>
      <w:r>
        <w:rPr>
          <w:rFonts w:ascii="Times New Roman" w:hAnsi="Times New Roman" w:cs="Times New Roman"/>
          <w:sz w:val="24"/>
          <w:szCs w:val="24"/>
        </w:rPr>
        <w:t>Halip</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Borota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Mracec</w:t>
      </w:r>
      <w:proofErr w:type="spellEnd"/>
      <w:r>
        <w:rPr>
          <w:rFonts w:ascii="Times New Roman" w:hAnsi="Times New Roman" w:cs="Times New Roman"/>
          <w:sz w:val="24"/>
          <w:szCs w:val="24"/>
        </w:rPr>
        <w:t>, R.</w:t>
      </w:r>
      <w:r>
        <w:rPr>
          <w:rFonts w:ascii="Times New Roman" w:hAnsi="Times New Roman" w:cs="Times New Roman"/>
          <w:noProof/>
          <w:sz w:val="24"/>
          <w:szCs w:val="24"/>
        </w:rPr>
        <w:t xml:space="preserve"> Curpan</w:t>
      </w:r>
      <w:r>
        <w:rPr>
          <w:rFonts w:ascii="Times New Roman" w:hAnsi="Times New Roman" w:cs="Times New Roman"/>
          <w:sz w:val="24"/>
          <w:szCs w:val="24"/>
        </w:rPr>
        <w:t xml:space="preserve">, A. </w:t>
      </w:r>
      <w:proofErr w:type="spellStart"/>
      <w:r>
        <w:rPr>
          <w:rFonts w:ascii="Times New Roman" w:hAnsi="Times New Roman" w:cs="Times New Roman"/>
          <w:sz w:val="24"/>
          <w:szCs w:val="24"/>
        </w:rPr>
        <w:t>Gruia</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Mracec</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Rev. </w:t>
      </w:r>
      <w:proofErr w:type="spellStart"/>
      <w:r>
        <w:rPr>
          <w:rFonts w:ascii="Times New Roman" w:hAnsi="Times New Roman" w:cs="Times New Roman"/>
          <w:i/>
          <w:sz w:val="24"/>
          <w:szCs w:val="24"/>
        </w:rPr>
        <w:t>Roum</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Chim</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54 </w:t>
      </w:r>
      <w:r>
        <w:rPr>
          <w:rFonts w:ascii="Times New Roman" w:hAnsi="Times New Roman" w:cs="Times New Roman"/>
          <w:sz w:val="24"/>
          <w:szCs w:val="24"/>
        </w:rPr>
        <w:t>(2009) 157 (</w:t>
      </w:r>
      <w:hyperlink r:id="rId31" w:history="1">
        <w:r>
          <w:rPr>
            <w:rStyle w:val="Hyperlink"/>
            <w:rFonts w:ascii="Times New Roman" w:hAnsi="Times New Roman" w:cs="Times New Roman"/>
            <w:sz w:val="24"/>
            <w:szCs w:val="24"/>
          </w:rPr>
          <w:t>http://revroum.lew.ro/wp-content/uploads/2009/RRCh_2_2009/Art%2007.pdf</w:t>
        </w:r>
      </w:hyperlink>
      <w:r>
        <w:rPr>
          <w:rFonts w:ascii="Times New Roman" w:hAnsi="Times New Roman" w:cs="Times New Roman"/>
          <w:sz w:val="24"/>
          <w:szCs w:val="24"/>
        </w:rPr>
        <w:t>)</w:t>
      </w:r>
    </w:p>
    <w:p>
      <w:pPr>
        <w:pStyle w:val="ListParagraph"/>
        <w:numPr>
          <w:ilvl w:val="0"/>
          <w:numId w:val="1"/>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K. K. </w:t>
      </w:r>
      <w:proofErr w:type="spellStart"/>
      <w:r>
        <w:rPr>
          <w:rFonts w:ascii="Times New Roman" w:hAnsi="Times New Roman" w:cs="Times New Roman"/>
          <w:sz w:val="24"/>
          <w:szCs w:val="24"/>
        </w:rPr>
        <w:t>Chahal</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Parle</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Abagyn</w:t>
      </w:r>
      <w:proofErr w:type="spellEnd"/>
      <w:r>
        <w:rPr>
          <w:rFonts w:ascii="Times New Roman" w:hAnsi="Times New Roman" w:cs="Times New Roman"/>
          <w:sz w:val="24"/>
          <w:szCs w:val="24"/>
        </w:rPr>
        <w:t xml:space="preserve">, </w:t>
      </w:r>
      <w:r>
        <w:rPr>
          <w:rFonts w:ascii="Times New Roman" w:hAnsi="Times New Roman" w:cs="Times New Roman"/>
          <w:i/>
          <w:sz w:val="24"/>
          <w:szCs w:val="24"/>
        </w:rPr>
        <w:t>Anti-cancer Drugs</w:t>
      </w:r>
      <w:r>
        <w:rPr>
          <w:rFonts w:ascii="Times New Roman" w:hAnsi="Times New Roman" w:cs="Times New Roman"/>
          <w:sz w:val="24"/>
          <w:szCs w:val="24"/>
        </w:rPr>
        <w:t xml:space="preserve"> </w:t>
      </w:r>
      <w:r>
        <w:rPr>
          <w:rFonts w:ascii="Times New Roman" w:hAnsi="Times New Roman" w:cs="Times New Roman"/>
          <w:b/>
          <w:sz w:val="24"/>
          <w:szCs w:val="24"/>
        </w:rPr>
        <w:t xml:space="preserve">29 </w:t>
      </w:r>
      <w:r>
        <w:rPr>
          <w:rFonts w:ascii="Times New Roman" w:hAnsi="Times New Roman" w:cs="Times New Roman"/>
          <w:sz w:val="24"/>
          <w:szCs w:val="24"/>
        </w:rPr>
        <w:t>(2018) 387 (</w:t>
      </w:r>
      <w:hyperlink r:id="rId32" w:tgtFrame="_blank" w:history="1">
        <w:r>
          <w:rPr>
            <w:rStyle w:val="Hyperlink"/>
            <w:rFonts w:ascii="Times New Roman" w:hAnsi="Times New Roman" w:cs="Times New Roman"/>
            <w:sz w:val="24"/>
            <w:szCs w:val="24"/>
          </w:rPr>
          <w:t>http://dx.doi.org/10.1097/CAD.0000000000000609</w:t>
        </w:r>
      </w:hyperlink>
      <w:r>
        <w:rPr>
          <w:rFonts w:ascii="Times New Roman" w:hAnsi="Times New Roman" w:cs="Times New Roman"/>
          <w:sz w:val="24"/>
          <w:szCs w:val="24"/>
        </w:rPr>
        <w:t>)</w:t>
      </w:r>
    </w:p>
    <w:p>
      <w:pPr>
        <w:pStyle w:val="ListParagraph"/>
        <w:numPr>
          <w:ilvl w:val="0"/>
          <w:numId w:val="1"/>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lastRenderedPageBreak/>
        <w:t xml:space="preserve">L. L. Rubin, F. J. de </w:t>
      </w:r>
      <w:proofErr w:type="spellStart"/>
      <w:r>
        <w:rPr>
          <w:rFonts w:ascii="Times New Roman" w:hAnsi="Times New Roman" w:cs="Times New Roman"/>
          <w:sz w:val="24"/>
          <w:szCs w:val="24"/>
        </w:rPr>
        <w:t>Sauvage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Nat. Rev. Drug </w:t>
      </w:r>
      <w:proofErr w:type="spellStart"/>
      <w:r>
        <w:rPr>
          <w:rFonts w:ascii="Times New Roman" w:hAnsi="Times New Roman" w:cs="Times New Roman"/>
          <w:i/>
          <w:sz w:val="24"/>
          <w:szCs w:val="24"/>
        </w:rPr>
        <w:t>Discov</w:t>
      </w:r>
      <w:proofErr w:type="spellEnd"/>
      <w:r>
        <w:rPr>
          <w:rFonts w:ascii="Times New Roman" w:hAnsi="Times New Roman" w:cs="Times New Roman"/>
          <w:i/>
          <w:sz w:val="24"/>
          <w:szCs w:val="24"/>
        </w:rPr>
        <w:t xml:space="preserve">. </w:t>
      </w:r>
      <w:r>
        <w:rPr>
          <w:rFonts w:ascii="Times New Roman" w:hAnsi="Times New Roman" w:cs="Times New Roman"/>
          <w:b/>
          <w:sz w:val="24"/>
          <w:szCs w:val="24"/>
        </w:rPr>
        <w:t xml:space="preserve"> 5 </w:t>
      </w:r>
      <w:r>
        <w:rPr>
          <w:rFonts w:ascii="Times New Roman" w:hAnsi="Times New Roman" w:cs="Times New Roman"/>
          <w:sz w:val="24"/>
          <w:szCs w:val="24"/>
        </w:rPr>
        <w:t>(2006) 1026 (</w:t>
      </w:r>
      <w:hyperlink r:id="rId33" w:tgtFrame="_blank" w:history="1">
        <w:r>
          <w:rPr>
            <w:rStyle w:val="Hyperlink"/>
            <w:rFonts w:ascii="Times New Roman" w:hAnsi="Times New Roman" w:cs="Times New Roman"/>
            <w:sz w:val="24"/>
            <w:szCs w:val="24"/>
          </w:rPr>
          <w:t>http://dx.doi.org/10.1038/nrd2086</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C. Wicking, I. Smyth, A. Bale, </w:t>
      </w:r>
      <w:r>
        <w:rPr>
          <w:rFonts w:ascii="Times New Roman" w:hAnsi="Times New Roman" w:cs="Times New Roman"/>
          <w:i/>
          <w:sz w:val="24"/>
          <w:szCs w:val="24"/>
        </w:rPr>
        <w:t>Oncogene</w:t>
      </w:r>
      <w:r>
        <w:rPr>
          <w:rFonts w:ascii="Times New Roman" w:hAnsi="Times New Roman" w:cs="Times New Roman"/>
          <w:sz w:val="24"/>
          <w:szCs w:val="24"/>
        </w:rPr>
        <w:t xml:space="preserve"> </w:t>
      </w:r>
      <w:r>
        <w:rPr>
          <w:rFonts w:ascii="Times New Roman" w:hAnsi="Times New Roman" w:cs="Times New Roman"/>
          <w:b/>
          <w:sz w:val="24"/>
          <w:szCs w:val="24"/>
        </w:rPr>
        <w:t>18</w:t>
      </w:r>
      <w:r>
        <w:rPr>
          <w:rFonts w:ascii="Times New Roman" w:hAnsi="Times New Roman" w:cs="Times New Roman"/>
          <w:sz w:val="24"/>
          <w:szCs w:val="24"/>
        </w:rPr>
        <w:t xml:space="preserve"> (1999) 7844 (</w:t>
      </w:r>
      <w:hyperlink r:id="rId34" w:tgtFrame="_blank" w:history="1">
        <w:r>
          <w:rPr>
            <w:rStyle w:val="Hyperlink"/>
            <w:rFonts w:ascii="Times New Roman" w:hAnsi="Times New Roman" w:cs="Times New Roman"/>
            <w:sz w:val="24"/>
            <w:szCs w:val="24"/>
          </w:rPr>
          <w:t>http://dx.doi.org/10.1038/sj.onc.1203282</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 J. Scales, F. J. de </w:t>
      </w:r>
      <w:proofErr w:type="spellStart"/>
      <w:r>
        <w:rPr>
          <w:rFonts w:ascii="Times New Roman" w:hAnsi="Times New Roman" w:cs="Times New Roman"/>
          <w:sz w:val="24"/>
          <w:szCs w:val="24"/>
        </w:rPr>
        <w:t>Sauvage</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Trends </w:t>
      </w:r>
      <w:proofErr w:type="spellStart"/>
      <w:r>
        <w:rPr>
          <w:rFonts w:ascii="Times New Roman" w:hAnsi="Times New Roman" w:cs="Times New Roman"/>
          <w:i/>
          <w:sz w:val="24"/>
          <w:szCs w:val="24"/>
        </w:rPr>
        <w:t>Pharmacol</w:t>
      </w:r>
      <w:proofErr w:type="spellEnd"/>
      <w:r>
        <w:rPr>
          <w:rFonts w:ascii="Times New Roman" w:hAnsi="Times New Roman" w:cs="Times New Roman"/>
          <w:i/>
          <w:sz w:val="24"/>
          <w:szCs w:val="24"/>
        </w:rPr>
        <w:t>. Sci.</w:t>
      </w:r>
      <w:r>
        <w:rPr>
          <w:rFonts w:ascii="Times New Roman" w:hAnsi="Times New Roman" w:cs="Times New Roman"/>
          <w:sz w:val="24"/>
          <w:szCs w:val="24"/>
        </w:rPr>
        <w:t xml:space="preserve"> </w:t>
      </w:r>
      <w:r>
        <w:rPr>
          <w:rFonts w:ascii="Times New Roman" w:hAnsi="Times New Roman" w:cs="Times New Roman"/>
          <w:b/>
          <w:sz w:val="24"/>
          <w:szCs w:val="24"/>
        </w:rPr>
        <w:t>30</w:t>
      </w:r>
      <w:r>
        <w:rPr>
          <w:rFonts w:ascii="Times New Roman" w:hAnsi="Times New Roman" w:cs="Times New Roman"/>
          <w:sz w:val="24"/>
          <w:szCs w:val="24"/>
        </w:rPr>
        <w:t xml:space="preserve"> (2009) 303 (</w:t>
      </w:r>
      <w:hyperlink r:id="rId35" w:tgtFrame="_blank" w:history="1">
        <w:r>
          <w:rPr>
            <w:rStyle w:val="Hyperlink"/>
            <w:rFonts w:ascii="Times New Roman" w:hAnsi="Times New Roman" w:cs="Times New Roman"/>
            <w:sz w:val="24"/>
            <w:szCs w:val="24"/>
          </w:rPr>
          <w:t>http://dx.doi.org/10.1016/j.tips.2009.03.007</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D. N. Watkins, D. M. Berman, S. G. Burkholder, B. Wang, P. A. Beachy, S. B. </w:t>
      </w:r>
      <w:proofErr w:type="spellStart"/>
      <w:r>
        <w:rPr>
          <w:rFonts w:ascii="Times New Roman" w:hAnsi="Times New Roman" w:cs="Times New Roman"/>
          <w:sz w:val="24"/>
          <w:szCs w:val="24"/>
        </w:rPr>
        <w:t>Baylin</w:t>
      </w:r>
      <w:proofErr w:type="spellEnd"/>
      <w:r>
        <w:rPr>
          <w:rFonts w:ascii="Times New Roman" w:hAnsi="Times New Roman" w:cs="Times New Roman"/>
          <w:sz w:val="24"/>
          <w:szCs w:val="24"/>
        </w:rPr>
        <w:t xml:space="preserve">, </w:t>
      </w:r>
      <w:r>
        <w:rPr>
          <w:rFonts w:ascii="Times New Roman" w:hAnsi="Times New Roman" w:cs="Times New Roman"/>
          <w:i/>
          <w:sz w:val="24"/>
          <w:szCs w:val="24"/>
        </w:rPr>
        <w:t>Nature</w:t>
      </w:r>
      <w:r>
        <w:rPr>
          <w:rFonts w:ascii="Times New Roman" w:hAnsi="Times New Roman" w:cs="Times New Roman"/>
          <w:sz w:val="24"/>
          <w:szCs w:val="24"/>
        </w:rPr>
        <w:t xml:space="preserve"> </w:t>
      </w:r>
      <w:r>
        <w:rPr>
          <w:rFonts w:ascii="Times New Roman" w:hAnsi="Times New Roman" w:cs="Times New Roman"/>
          <w:b/>
          <w:sz w:val="24"/>
          <w:szCs w:val="24"/>
        </w:rPr>
        <w:t xml:space="preserve">422 </w:t>
      </w:r>
      <w:r>
        <w:rPr>
          <w:rFonts w:ascii="Times New Roman" w:hAnsi="Times New Roman" w:cs="Times New Roman"/>
          <w:sz w:val="24"/>
          <w:szCs w:val="24"/>
        </w:rPr>
        <w:t>(2003) 313 (</w:t>
      </w:r>
      <w:hyperlink r:id="rId36" w:tgtFrame="_blank" w:history="1">
        <w:r>
          <w:rPr>
            <w:rStyle w:val="Hyperlink"/>
            <w:rFonts w:ascii="Times New Roman" w:hAnsi="Times New Roman" w:cs="Times New Roman"/>
            <w:sz w:val="24"/>
            <w:szCs w:val="24"/>
          </w:rPr>
          <w:t>http://dx.doi.org/10.1038/nature01493</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 P. Thayer, M. P. di </w:t>
      </w:r>
      <w:proofErr w:type="spellStart"/>
      <w:r>
        <w:rPr>
          <w:rFonts w:ascii="Times New Roman" w:hAnsi="Times New Roman" w:cs="Times New Roman"/>
          <w:sz w:val="24"/>
          <w:szCs w:val="24"/>
        </w:rPr>
        <w:t>Magliano</w:t>
      </w:r>
      <w:proofErr w:type="spellEnd"/>
      <w:r>
        <w:rPr>
          <w:rFonts w:ascii="Times New Roman" w:hAnsi="Times New Roman" w:cs="Times New Roman"/>
          <w:sz w:val="24"/>
          <w:szCs w:val="24"/>
        </w:rPr>
        <w:t xml:space="preserve">, P. W. </w:t>
      </w:r>
      <w:proofErr w:type="spellStart"/>
      <w:r>
        <w:rPr>
          <w:rFonts w:ascii="Times New Roman" w:hAnsi="Times New Roman" w:cs="Times New Roman"/>
          <w:sz w:val="24"/>
          <w:szCs w:val="24"/>
        </w:rPr>
        <w:t>Heiser</w:t>
      </w:r>
      <w:proofErr w:type="spellEnd"/>
      <w:r>
        <w:rPr>
          <w:rFonts w:ascii="Times New Roman" w:hAnsi="Times New Roman" w:cs="Times New Roman"/>
          <w:sz w:val="24"/>
          <w:szCs w:val="24"/>
        </w:rPr>
        <w:t xml:space="preserve">, C. M. Nielsen, D. J. Roberts, G. Y. </w:t>
      </w:r>
      <w:proofErr w:type="spellStart"/>
      <w:r>
        <w:rPr>
          <w:rFonts w:ascii="Times New Roman" w:hAnsi="Times New Roman" w:cs="Times New Roman"/>
          <w:sz w:val="24"/>
          <w:szCs w:val="24"/>
        </w:rPr>
        <w:t>Lauwers</w:t>
      </w:r>
      <w:proofErr w:type="spellEnd"/>
      <w:r>
        <w:rPr>
          <w:rFonts w:ascii="Times New Roman" w:hAnsi="Times New Roman" w:cs="Times New Roman"/>
          <w:sz w:val="24"/>
          <w:szCs w:val="24"/>
        </w:rPr>
        <w:t xml:space="preserve">, Y. P. Qi, S. Gysin, C. </w:t>
      </w:r>
      <w:proofErr w:type="spellStart"/>
      <w:r>
        <w:rPr>
          <w:rFonts w:ascii="Times New Roman" w:hAnsi="Times New Roman" w:cs="Times New Roman"/>
          <w:sz w:val="24"/>
          <w:szCs w:val="24"/>
        </w:rPr>
        <w:t>Fernández</w:t>
      </w:r>
      <w:proofErr w:type="spellEnd"/>
      <w:r>
        <w:rPr>
          <w:rFonts w:ascii="Times New Roman" w:hAnsi="Times New Roman" w:cs="Times New Roman"/>
          <w:sz w:val="24"/>
          <w:szCs w:val="24"/>
        </w:rPr>
        <w:t xml:space="preserve">-del Castillo, V. </w:t>
      </w:r>
      <w:proofErr w:type="spellStart"/>
      <w:r>
        <w:rPr>
          <w:rFonts w:ascii="Times New Roman" w:hAnsi="Times New Roman" w:cs="Times New Roman"/>
          <w:sz w:val="24"/>
          <w:szCs w:val="24"/>
        </w:rPr>
        <w:t>Yajnik</w:t>
      </w:r>
      <w:proofErr w:type="spellEnd"/>
      <w:r>
        <w:rPr>
          <w:rFonts w:ascii="Times New Roman" w:hAnsi="Times New Roman" w:cs="Times New Roman"/>
          <w:sz w:val="24"/>
          <w:szCs w:val="24"/>
        </w:rPr>
        <w:t xml:space="preserve">, B. </w:t>
      </w:r>
      <w:proofErr w:type="spellStart"/>
      <w:r>
        <w:rPr>
          <w:rFonts w:ascii="Times New Roman" w:hAnsi="Times New Roman" w:cs="Times New Roman"/>
          <w:sz w:val="24"/>
          <w:szCs w:val="24"/>
        </w:rPr>
        <w:t>Antoniu</w:t>
      </w:r>
      <w:proofErr w:type="spellEnd"/>
      <w:r>
        <w:rPr>
          <w:rFonts w:ascii="Times New Roman" w:hAnsi="Times New Roman" w:cs="Times New Roman"/>
          <w:sz w:val="24"/>
          <w:szCs w:val="24"/>
        </w:rPr>
        <w:t xml:space="preserve">, M. McMahon, A. L. </w:t>
      </w:r>
      <w:proofErr w:type="spellStart"/>
      <w:r>
        <w:rPr>
          <w:rFonts w:ascii="Times New Roman" w:hAnsi="Times New Roman" w:cs="Times New Roman"/>
          <w:sz w:val="24"/>
          <w:szCs w:val="24"/>
        </w:rPr>
        <w:t>Warshaw</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Hebrok</w:t>
      </w:r>
      <w:proofErr w:type="spellEnd"/>
      <w:r>
        <w:rPr>
          <w:rFonts w:ascii="Times New Roman" w:hAnsi="Times New Roman" w:cs="Times New Roman"/>
          <w:sz w:val="24"/>
          <w:szCs w:val="24"/>
        </w:rPr>
        <w:t xml:space="preserve">, </w:t>
      </w:r>
      <w:r>
        <w:rPr>
          <w:rFonts w:ascii="Times New Roman" w:hAnsi="Times New Roman" w:cs="Times New Roman"/>
          <w:i/>
          <w:sz w:val="24"/>
          <w:szCs w:val="24"/>
        </w:rPr>
        <w:t>Nature</w:t>
      </w:r>
      <w:r>
        <w:rPr>
          <w:rFonts w:ascii="Times New Roman" w:hAnsi="Times New Roman" w:cs="Times New Roman"/>
          <w:sz w:val="24"/>
          <w:szCs w:val="24"/>
        </w:rPr>
        <w:t xml:space="preserve"> </w:t>
      </w:r>
      <w:r>
        <w:rPr>
          <w:rFonts w:ascii="Times New Roman" w:hAnsi="Times New Roman" w:cs="Times New Roman"/>
          <w:b/>
          <w:sz w:val="24"/>
          <w:szCs w:val="24"/>
        </w:rPr>
        <w:t>425</w:t>
      </w:r>
      <w:r>
        <w:rPr>
          <w:rFonts w:ascii="Times New Roman" w:hAnsi="Times New Roman" w:cs="Times New Roman"/>
          <w:sz w:val="24"/>
          <w:szCs w:val="24"/>
        </w:rPr>
        <w:t xml:space="preserve"> (2003) 851 (</w:t>
      </w:r>
      <w:hyperlink r:id="rId37" w:tgtFrame="_blank" w:history="1">
        <w:r>
          <w:rPr>
            <w:rStyle w:val="Hyperlink"/>
            <w:rFonts w:ascii="Times New Roman" w:hAnsi="Times New Roman" w:cs="Times New Roman"/>
            <w:sz w:val="24"/>
            <w:szCs w:val="24"/>
          </w:rPr>
          <w:t>http://dx.doi.org/10.1038/nature02009</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D. </w:t>
      </w:r>
      <w:proofErr w:type="spellStart"/>
      <w:r>
        <w:rPr>
          <w:rFonts w:ascii="Times New Roman" w:hAnsi="Times New Roman" w:cs="Times New Roman"/>
          <w:sz w:val="24"/>
          <w:szCs w:val="24"/>
        </w:rPr>
        <w:t>Qualtrough</w:t>
      </w:r>
      <w:proofErr w:type="spellEnd"/>
      <w:r>
        <w:rPr>
          <w:rFonts w:ascii="Times New Roman" w:hAnsi="Times New Roman" w:cs="Times New Roman"/>
          <w:sz w:val="24"/>
          <w:szCs w:val="24"/>
        </w:rPr>
        <w:t xml:space="preserve">, A. Buda, W. </w:t>
      </w:r>
      <w:proofErr w:type="spellStart"/>
      <w:r>
        <w:rPr>
          <w:rFonts w:ascii="Times New Roman" w:hAnsi="Times New Roman" w:cs="Times New Roman"/>
          <w:sz w:val="24"/>
          <w:szCs w:val="24"/>
        </w:rPr>
        <w:t>Gaffield</w:t>
      </w:r>
      <w:proofErr w:type="spellEnd"/>
      <w:r>
        <w:rPr>
          <w:rFonts w:ascii="Times New Roman" w:hAnsi="Times New Roman" w:cs="Times New Roman"/>
          <w:sz w:val="24"/>
          <w:szCs w:val="24"/>
        </w:rPr>
        <w:t xml:space="preserve">, A. C. Williams, C. </w:t>
      </w:r>
      <w:proofErr w:type="spellStart"/>
      <w:r>
        <w:rPr>
          <w:rFonts w:ascii="Times New Roman" w:hAnsi="Times New Roman" w:cs="Times New Roman"/>
          <w:sz w:val="24"/>
          <w:szCs w:val="24"/>
        </w:rPr>
        <w:t>Paraskeva</w:t>
      </w:r>
      <w:proofErr w:type="spellEnd"/>
      <w:r>
        <w:rPr>
          <w:rFonts w:ascii="Times New Roman" w:hAnsi="Times New Roman" w:cs="Times New Roman"/>
          <w:sz w:val="24"/>
          <w:szCs w:val="24"/>
        </w:rPr>
        <w:t xml:space="preserve">, </w:t>
      </w:r>
      <w:r>
        <w:rPr>
          <w:rFonts w:ascii="Times New Roman" w:hAnsi="Times New Roman" w:cs="Times New Roman"/>
          <w:i/>
          <w:sz w:val="24"/>
          <w:szCs w:val="24"/>
        </w:rPr>
        <w:t>Int. J. Cancer</w:t>
      </w:r>
      <w:r>
        <w:rPr>
          <w:rFonts w:ascii="Times New Roman" w:hAnsi="Times New Roman" w:cs="Times New Roman"/>
          <w:sz w:val="24"/>
          <w:szCs w:val="24"/>
        </w:rPr>
        <w:t xml:space="preserve"> </w:t>
      </w:r>
      <w:r>
        <w:rPr>
          <w:rFonts w:ascii="Times New Roman" w:hAnsi="Times New Roman" w:cs="Times New Roman"/>
          <w:b/>
          <w:sz w:val="24"/>
          <w:szCs w:val="24"/>
        </w:rPr>
        <w:t xml:space="preserve">110 </w:t>
      </w:r>
      <w:r>
        <w:rPr>
          <w:rFonts w:ascii="Times New Roman" w:hAnsi="Times New Roman" w:cs="Times New Roman"/>
          <w:sz w:val="24"/>
          <w:szCs w:val="24"/>
        </w:rPr>
        <w:t>(2004) 831 (</w:t>
      </w:r>
      <w:hyperlink r:id="rId38" w:tgtFrame="_blank" w:history="1">
        <w:r>
          <w:rPr>
            <w:rStyle w:val="Hyperlink"/>
            <w:rFonts w:ascii="Times New Roman" w:hAnsi="Times New Roman" w:cs="Times New Roman"/>
            <w:sz w:val="24"/>
            <w:szCs w:val="24"/>
          </w:rPr>
          <w:t>http://dx.doi.org/10.1002/ijc.20227</w:t>
        </w:r>
      </w:hyperlink>
      <w:r>
        <w:rPr>
          <w:rFonts w:ascii="Times New Roman" w:hAnsi="Times New Roman" w:cs="Times New Roman"/>
          <w:sz w:val="24"/>
          <w:szCs w:val="24"/>
        </w:rPr>
        <w:t>)</w:t>
      </w:r>
    </w:p>
    <w:p>
      <w:pPr>
        <w:pStyle w:val="ListParagraph"/>
        <w:numPr>
          <w:ilvl w:val="0"/>
          <w:numId w:val="1"/>
        </w:numPr>
        <w:spacing w:after="0"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 Mukherjee, N. </w:t>
      </w:r>
      <w:proofErr w:type="spellStart"/>
      <w:r>
        <w:rPr>
          <w:rFonts w:ascii="Times New Roman" w:hAnsi="Times New Roman" w:cs="Times New Roman"/>
          <w:sz w:val="24"/>
          <w:szCs w:val="24"/>
        </w:rPr>
        <w:t>Frolova</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Sadlonova</w:t>
      </w:r>
      <w:proofErr w:type="spellEnd"/>
      <w:r>
        <w:rPr>
          <w:rFonts w:ascii="Times New Roman" w:hAnsi="Times New Roman" w:cs="Times New Roman"/>
          <w:sz w:val="24"/>
          <w:szCs w:val="24"/>
        </w:rPr>
        <w:t>, Z. Novak, A. Steg, G. P. Page, D. R. Welch, S. M. Lobo-</w:t>
      </w:r>
      <w:proofErr w:type="spellStart"/>
      <w:r>
        <w:rPr>
          <w:rFonts w:ascii="Times New Roman" w:hAnsi="Times New Roman" w:cs="Times New Roman"/>
          <w:sz w:val="24"/>
          <w:szCs w:val="24"/>
        </w:rPr>
        <w:t>Ruppert</w:t>
      </w:r>
      <w:proofErr w:type="spellEnd"/>
      <w:r>
        <w:rPr>
          <w:rFonts w:ascii="Times New Roman" w:hAnsi="Times New Roman" w:cs="Times New Roman"/>
          <w:sz w:val="24"/>
          <w:szCs w:val="24"/>
        </w:rPr>
        <w:t xml:space="preserve">, J. M. </w:t>
      </w:r>
      <w:proofErr w:type="spellStart"/>
      <w:r>
        <w:rPr>
          <w:rFonts w:ascii="Times New Roman" w:hAnsi="Times New Roman" w:cs="Times New Roman"/>
          <w:sz w:val="24"/>
          <w:szCs w:val="24"/>
        </w:rPr>
        <w:t>Ruppert</w:t>
      </w:r>
      <w:proofErr w:type="spellEnd"/>
      <w:r>
        <w:rPr>
          <w:rFonts w:ascii="Times New Roman" w:hAnsi="Times New Roman" w:cs="Times New Roman"/>
          <w:sz w:val="24"/>
          <w:szCs w:val="24"/>
        </w:rPr>
        <w:t xml:space="preserve">, M. R. Johnson, A. R. Frost, </w:t>
      </w:r>
      <w:r>
        <w:rPr>
          <w:rFonts w:ascii="Times New Roman" w:hAnsi="Times New Roman" w:cs="Times New Roman"/>
          <w:i/>
          <w:sz w:val="24"/>
          <w:szCs w:val="24"/>
        </w:rPr>
        <w:t xml:space="preserve">Cancer Biol. </w:t>
      </w:r>
      <w:proofErr w:type="spellStart"/>
      <w:r>
        <w:rPr>
          <w:rFonts w:ascii="Times New Roman" w:hAnsi="Times New Roman" w:cs="Times New Roman"/>
          <w:i/>
          <w:sz w:val="24"/>
          <w:szCs w:val="24"/>
        </w:rPr>
        <w:t>Ther</w:t>
      </w:r>
      <w:proofErr w:type="spellEnd"/>
      <w:r>
        <w:rPr>
          <w:rFonts w:ascii="Times New Roman" w:hAnsi="Times New Roman" w:cs="Times New Roman"/>
          <w:i/>
          <w:sz w:val="24"/>
          <w:szCs w:val="24"/>
        </w:rPr>
        <w:t xml:space="preserve">. </w:t>
      </w:r>
      <w:r>
        <w:rPr>
          <w:rFonts w:ascii="Times New Roman" w:hAnsi="Times New Roman" w:cs="Times New Roman"/>
          <w:b/>
          <w:sz w:val="24"/>
          <w:szCs w:val="24"/>
        </w:rPr>
        <w:t>5</w:t>
      </w:r>
      <w:r>
        <w:rPr>
          <w:rFonts w:ascii="Times New Roman" w:hAnsi="Times New Roman" w:cs="Times New Roman"/>
          <w:i/>
          <w:sz w:val="24"/>
          <w:szCs w:val="24"/>
        </w:rPr>
        <w:t xml:space="preserve"> </w:t>
      </w:r>
      <w:r>
        <w:rPr>
          <w:rFonts w:ascii="Times New Roman" w:hAnsi="Times New Roman" w:cs="Times New Roman"/>
          <w:sz w:val="24"/>
          <w:szCs w:val="24"/>
        </w:rPr>
        <w:t>(2006) 674 (</w:t>
      </w:r>
      <w:hyperlink r:id="rId39" w:history="1">
        <w:r>
          <w:rPr>
            <w:rStyle w:val="Hyperlink"/>
            <w:rFonts w:ascii="Times New Roman" w:hAnsi="Times New Roman" w:cs="Times New Roman"/>
            <w:sz w:val="24"/>
            <w:szCs w:val="24"/>
          </w:rPr>
          <w:t>https://doi.org/10.4161/cbt.5.6.2906</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D. M. Berman, S. S. </w:t>
      </w:r>
      <w:proofErr w:type="spellStart"/>
      <w:r>
        <w:rPr>
          <w:rFonts w:ascii="Times New Roman" w:hAnsi="Times New Roman" w:cs="Times New Roman"/>
          <w:sz w:val="24"/>
          <w:szCs w:val="24"/>
        </w:rPr>
        <w:t>Karhadkar</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Maitra</w:t>
      </w:r>
      <w:proofErr w:type="spellEnd"/>
      <w:r>
        <w:rPr>
          <w:rFonts w:ascii="Times New Roman" w:hAnsi="Times New Roman" w:cs="Times New Roman"/>
          <w:sz w:val="24"/>
          <w:szCs w:val="24"/>
        </w:rPr>
        <w:t xml:space="preserve">, R. Montes de </w:t>
      </w:r>
      <w:proofErr w:type="spellStart"/>
      <w:r>
        <w:rPr>
          <w:rFonts w:ascii="Times New Roman" w:hAnsi="Times New Roman" w:cs="Times New Roman"/>
          <w:sz w:val="24"/>
          <w:szCs w:val="24"/>
        </w:rPr>
        <w:t>Oca</w:t>
      </w:r>
      <w:proofErr w:type="spellEnd"/>
      <w:r>
        <w:rPr>
          <w:rFonts w:ascii="Times New Roman" w:hAnsi="Times New Roman" w:cs="Times New Roman"/>
          <w:sz w:val="24"/>
          <w:szCs w:val="24"/>
        </w:rPr>
        <w:t xml:space="preserve">, M. R. </w:t>
      </w:r>
      <w:proofErr w:type="spellStart"/>
      <w:r>
        <w:rPr>
          <w:rFonts w:ascii="Times New Roman" w:hAnsi="Times New Roman" w:cs="Times New Roman"/>
          <w:sz w:val="24"/>
          <w:szCs w:val="24"/>
        </w:rPr>
        <w:t>Gerstenblith</w:t>
      </w:r>
      <w:proofErr w:type="spellEnd"/>
      <w:r>
        <w:rPr>
          <w:rFonts w:ascii="Times New Roman" w:hAnsi="Times New Roman" w:cs="Times New Roman"/>
          <w:sz w:val="24"/>
          <w:szCs w:val="24"/>
        </w:rPr>
        <w:t xml:space="preserve">, K. Briggs, A. R. Parker, Y. Shimada, J. R. </w:t>
      </w:r>
      <w:proofErr w:type="spellStart"/>
      <w:r>
        <w:rPr>
          <w:rFonts w:ascii="Times New Roman" w:hAnsi="Times New Roman" w:cs="Times New Roman"/>
          <w:sz w:val="24"/>
          <w:szCs w:val="24"/>
        </w:rPr>
        <w:t>Eshleman</w:t>
      </w:r>
      <w:proofErr w:type="spellEnd"/>
      <w:r>
        <w:rPr>
          <w:rFonts w:ascii="Times New Roman" w:hAnsi="Times New Roman" w:cs="Times New Roman"/>
          <w:sz w:val="24"/>
          <w:szCs w:val="24"/>
        </w:rPr>
        <w:t xml:space="preserve">, D. N. Watkins, P. A. Beachy, </w:t>
      </w:r>
      <w:r>
        <w:rPr>
          <w:rFonts w:ascii="Times New Roman" w:hAnsi="Times New Roman" w:cs="Times New Roman"/>
          <w:i/>
          <w:sz w:val="24"/>
          <w:szCs w:val="24"/>
        </w:rPr>
        <w:t>Nature</w:t>
      </w:r>
      <w:r>
        <w:rPr>
          <w:rFonts w:ascii="Times New Roman" w:hAnsi="Times New Roman" w:cs="Times New Roman"/>
          <w:sz w:val="24"/>
          <w:szCs w:val="24"/>
        </w:rPr>
        <w:t xml:space="preserve"> </w:t>
      </w:r>
      <w:r>
        <w:rPr>
          <w:rFonts w:ascii="Times New Roman" w:hAnsi="Times New Roman" w:cs="Times New Roman"/>
          <w:b/>
          <w:sz w:val="24"/>
          <w:szCs w:val="24"/>
        </w:rPr>
        <w:t xml:space="preserve">425 </w:t>
      </w:r>
      <w:r>
        <w:rPr>
          <w:rFonts w:ascii="Times New Roman" w:hAnsi="Times New Roman" w:cs="Times New Roman"/>
          <w:sz w:val="24"/>
          <w:szCs w:val="24"/>
        </w:rPr>
        <w:t>(2003) 846 (</w:t>
      </w:r>
      <w:hyperlink r:id="rId40" w:tgtFrame="_blank" w:history="1">
        <w:r>
          <w:rPr>
            <w:rStyle w:val="Hyperlink"/>
            <w:rFonts w:ascii="Times New Roman" w:hAnsi="Times New Roman" w:cs="Times New Roman"/>
            <w:sz w:val="24"/>
            <w:szCs w:val="24"/>
          </w:rPr>
          <w:t>http://dx.doi.org/10.1038/nature01972</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 S. </w:t>
      </w:r>
      <w:proofErr w:type="spellStart"/>
      <w:r>
        <w:rPr>
          <w:rFonts w:ascii="Times New Roman" w:hAnsi="Times New Roman" w:cs="Times New Roman"/>
          <w:sz w:val="24"/>
          <w:szCs w:val="24"/>
        </w:rPr>
        <w:t>Karhadkar</w:t>
      </w:r>
      <w:proofErr w:type="spellEnd"/>
      <w:r>
        <w:rPr>
          <w:rFonts w:ascii="Times New Roman" w:hAnsi="Times New Roman" w:cs="Times New Roman"/>
          <w:sz w:val="24"/>
          <w:szCs w:val="24"/>
        </w:rPr>
        <w:t xml:space="preserve">, G. S. </w:t>
      </w:r>
      <w:proofErr w:type="spellStart"/>
      <w:r>
        <w:rPr>
          <w:rFonts w:ascii="Times New Roman" w:hAnsi="Times New Roman" w:cs="Times New Roman"/>
          <w:sz w:val="24"/>
          <w:szCs w:val="24"/>
        </w:rPr>
        <w:t>Bova</w:t>
      </w:r>
      <w:proofErr w:type="spellEnd"/>
      <w:r>
        <w:rPr>
          <w:rFonts w:ascii="Times New Roman" w:hAnsi="Times New Roman" w:cs="Times New Roman"/>
          <w:sz w:val="24"/>
          <w:szCs w:val="24"/>
        </w:rPr>
        <w:t xml:space="preserve">, N. Abdallah, S. </w:t>
      </w:r>
      <w:proofErr w:type="spellStart"/>
      <w:r>
        <w:rPr>
          <w:rFonts w:ascii="Times New Roman" w:hAnsi="Times New Roman" w:cs="Times New Roman"/>
          <w:sz w:val="24"/>
          <w:szCs w:val="24"/>
        </w:rPr>
        <w:t>Dhara</w:t>
      </w:r>
      <w:proofErr w:type="spellEnd"/>
      <w:r>
        <w:rPr>
          <w:rFonts w:ascii="Times New Roman" w:hAnsi="Times New Roman" w:cs="Times New Roman"/>
          <w:sz w:val="24"/>
          <w:szCs w:val="24"/>
        </w:rPr>
        <w:t xml:space="preserve">, D. Gardner, A. </w:t>
      </w:r>
      <w:proofErr w:type="spellStart"/>
      <w:r>
        <w:rPr>
          <w:rFonts w:ascii="Times New Roman" w:hAnsi="Times New Roman" w:cs="Times New Roman"/>
          <w:sz w:val="24"/>
          <w:szCs w:val="24"/>
        </w:rPr>
        <w:t>Maitra</w:t>
      </w:r>
      <w:proofErr w:type="spellEnd"/>
      <w:r>
        <w:rPr>
          <w:rFonts w:ascii="Times New Roman" w:hAnsi="Times New Roman" w:cs="Times New Roman"/>
          <w:sz w:val="24"/>
          <w:szCs w:val="24"/>
        </w:rPr>
        <w:t xml:space="preserve">, J. T. Isaacs, D. M. Berman, P. A. Beachy, </w:t>
      </w:r>
      <w:r>
        <w:rPr>
          <w:rFonts w:ascii="Times New Roman" w:hAnsi="Times New Roman" w:cs="Times New Roman"/>
          <w:i/>
          <w:sz w:val="24"/>
          <w:szCs w:val="24"/>
        </w:rPr>
        <w:t>Nature</w:t>
      </w:r>
      <w:r>
        <w:rPr>
          <w:rFonts w:ascii="Times New Roman" w:hAnsi="Times New Roman" w:cs="Times New Roman"/>
          <w:sz w:val="24"/>
          <w:szCs w:val="24"/>
        </w:rPr>
        <w:t xml:space="preserve"> </w:t>
      </w:r>
      <w:r>
        <w:rPr>
          <w:rFonts w:ascii="Times New Roman" w:hAnsi="Times New Roman" w:cs="Times New Roman"/>
          <w:b/>
          <w:sz w:val="24"/>
          <w:szCs w:val="24"/>
        </w:rPr>
        <w:t xml:space="preserve">431 </w:t>
      </w:r>
      <w:r>
        <w:rPr>
          <w:rFonts w:ascii="Times New Roman" w:hAnsi="Times New Roman" w:cs="Times New Roman"/>
          <w:sz w:val="24"/>
          <w:szCs w:val="24"/>
        </w:rPr>
        <w:t>(2004)  707 (</w:t>
      </w:r>
      <w:hyperlink r:id="rId41" w:tgtFrame="_blank" w:history="1">
        <w:r>
          <w:rPr>
            <w:rStyle w:val="Hyperlink"/>
            <w:rFonts w:ascii="Times New Roman" w:hAnsi="Times New Roman" w:cs="Times New Roman"/>
            <w:sz w:val="24"/>
            <w:szCs w:val="24"/>
          </w:rPr>
          <w:t>http://dx.doi.org/10.1038/nature02962</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P. Lin, Y. He, G. Chen, H. Ma, J. Zheng, Z. Zhang, B. Cao,  H. Zhang,  X. Zhang, X. Mao, </w:t>
      </w:r>
      <w:r>
        <w:rPr>
          <w:rFonts w:ascii="Times New Roman" w:hAnsi="Times New Roman" w:cs="Times New Roman"/>
          <w:bCs/>
          <w:i/>
          <w:sz w:val="24"/>
          <w:szCs w:val="24"/>
        </w:rPr>
        <w:t>Anti-cancer Drugs</w:t>
      </w:r>
      <w:r>
        <w:rPr>
          <w:rFonts w:ascii="Times New Roman" w:hAnsi="Times New Roman" w:cs="Times New Roman"/>
          <w:bCs/>
          <w:sz w:val="24"/>
          <w:szCs w:val="24"/>
        </w:rPr>
        <w:t xml:space="preserve"> </w:t>
      </w:r>
      <w:r>
        <w:rPr>
          <w:rFonts w:ascii="Times New Roman" w:hAnsi="Times New Roman" w:cs="Times New Roman"/>
          <w:b/>
          <w:bCs/>
          <w:sz w:val="24"/>
          <w:szCs w:val="24"/>
        </w:rPr>
        <w:t xml:space="preserve">29 </w:t>
      </w:r>
      <w:r>
        <w:rPr>
          <w:rFonts w:ascii="Times New Roman" w:hAnsi="Times New Roman" w:cs="Times New Roman"/>
          <w:bCs/>
          <w:sz w:val="24"/>
          <w:szCs w:val="24"/>
        </w:rPr>
        <w:t>(2018) 995 (</w:t>
      </w:r>
      <w:hyperlink r:id="rId42" w:tgtFrame="_blank" w:history="1">
        <w:r>
          <w:rPr>
            <w:rStyle w:val="Hyperlink"/>
            <w:rFonts w:ascii="Times New Roman" w:hAnsi="Times New Roman" w:cs="Times New Roman"/>
            <w:sz w:val="24"/>
            <w:szCs w:val="24"/>
          </w:rPr>
          <w:t>http://dx.doi.org/10.1097/CAD.0000000000000679</w:t>
        </w:r>
      </w:hyperlink>
      <w:r>
        <w:rPr>
          <w:rFonts w:ascii="Times New Roman" w:hAnsi="Times New Roman" w:cs="Times New Roman"/>
          <w:bCs/>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J. Jiang, C. C. Hui, </w:t>
      </w:r>
      <w:r>
        <w:rPr>
          <w:rFonts w:ascii="Times New Roman" w:hAnsi="Times New Roman" w:cs="Times New Roman"/>
          <w:i/>
          <w:sz w:val="24"/>
          <w:szCs w:val="24"/>
        </w:rPr>
        <w:t>Dev. Cell.</w:t>
      </w:r>
      <w:r>
        <w:rPr>
          <w:rFonts w:ascii="Times New Roman" w:hAnsi="Times New Roman" w:cs="Times New Roman"/>
          <w:sz w:val="24"/>
          <w:szCs w:val="24"/>
        </w:rPr>
        <w:t xml:space="preserve"> </w:t>
      </w:r>
      <w:r>
        <w:rPr>
          <w:rFonts w:ascii="Times New Roman" w:hAnsi="Times New Roman" w:cs="Times New Roman"/>
          <w:b/>
          <w:sz w:val="24"/>
          <w:szCs w:val="24"/>
        </w:rPr>
        <w:t xml:space="preserve">15 </w:t>
      </w:r>
      <w:r>
        <w:rPr>
          <w:rFonts w:ascii="Times New Roman" w:hAnsi="Times New Roman" w:cs="Times New Roman"/>
          <w:sz w:val="24"/>
          <w:szCs w:val="24"/>
        </w:rPr>
        <w:t>(2008) 801 (</w:t>
      </w:r>
      <w:hyperlink r:id="rId43" w:tgtFrame="_blank" w:history="1">
        <w:r>
          <w:rPr>
            <w:rStyle w:val="Hyperlink"/>
            <w:rFonts w:ascii="Times New Roman" w:hAnsi="Times New Roman" w:cs="Times New Roman"/>
            <w:sz w:val="24"/>
            <w:szCs w:val="24"/>
          </w:rPr>
          <w:t>http://dx.doi.org/10.1016/j.devcel.2008.11.010</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T. K. </w:t>
      </w:r>
      <w:proofErr w:type="spellStart"/>
      <w:r>
        <w:rPr>
          <w:rFonts w:ascii="Times New Roman" w:hAnsi="Times New Roman" w:cs="Times New Roman"/>
          <w:sz w:val="24"/>
          <w:szCs w:val="24"/>
        </w:rPr>
        <w:t>Rimkus</w:t>
      </w:r>
      <w:proofErr w:type="spellEnd"/>
      <w:r>
        <w:rPr>
          <w:rFonts w:ascii="Times New Roman" w:hAnsi="Times New Roman" w:cs="Times New Roman"/>
          <w:sz w:val="24"/>
          <w:szCs w:val="24"/>
        </w:rPr>
        <w:t>, R. L. Carpenter, S.</w:t>
      </w:r>
      <w:r>
        <w:rPr>
          <w:rFonts w:ascii="Times New Roman" w:hAnsi="Times New Roman" w:cs="Times New Roman"/>
          <w:noProof/>
          <w:sz w:val="24"/>
          <w:szCs w:val="24"/>
        </w:rPr>
        <w:t xml:space="preserve"> Qasem</w:t>
      </w:r>
      <w:r>
        <w:rPr>
          <w:rFonts w:ascii="Times New Roman" w:hAnsi="Times New Roman" w:cs="Times New Roman"/>
          <w:sz w:val="24"/>
          <w:szCs w:val="24"/>
        </w:rPr>
        <w:t xml:space="preserve">, M. Chan, H. W. Lo, </w:t>
      </w:r>
      <w:r>
        <w:rPr>
          <w:rFonts w:ascii="Times New Roman" w:hAnsi="Times New Roman" w:cs="Times New Roman"/>
          <w:i/>
          <w:sz w:val="24"/>
          <w:szCs w:val="24"/>
        </w:rPr>
        <w:t>Cancers</w:t>
      </w:r>
      <w:r>
        <w:rPr>
          <w:rFonts w:ascii="Times New Roman" w:hAnsi="Times New Roman" w:cs="Times New Roman"/>
          <w:sz w:val="24"/>
          <w:szCs w:val="24"/>
        </w:rPr>
        <w:t xml:space="preserve"> </w:t>
      </w:r>
      <w:r>
        <w:rPr>
          <w:rFonts w:ascii="Times New Roman" w:hAnsi="Times New Roman" w:cs="Times New Roman"/>
          <w:b/>
          <w:sz w:val="24"/>
          <w:szCs w:val="24"/>
        </w:rPr>
        <w:t xml:space="preserve">8 </w:t>
      </w:r>
      <w:r>
        <w:rPr>
          <w:rFonts w:ascii="Times New Roman" w:hAnsi="Times New Roman" w:cs="Times New Roman"/>
          <w:sz w:val="24"/>
          <w:szCs w:val="24"/>
        </w:rPr>
        <w:t>(2016) 22 (</w:t>
      </w:r>
      <w:hyperlink r:id="rId44" w:tgtFrame="_blank" w:history="1">
        <w:r>
          <w:rPr>
            <w:rStyle w:val="Hyperlink"/>
            <w:rFonts w:ascii="Times New Roman" w:hAnsi="Times New Roman" w:cs="Times New Roman"/>
            <w:sz w:val="24"/>
            <w:szCs w:val="24"/>
          </w:rPr>
          <w:t>http://dx.doi.org/10.3390/cancers8020022</w:t>
        </w:r>
      </w:hyperlink>
      <w:r>
        <w:rPr>
          <w:rFonts w:ascii="Times New Roman" w:hAnsi="Times New Roman" w:cs="Times New Roman"/>
          <w:sz w:val="24"/>
          <w:szCs w:val="24"/>
        </w:rPr>
        <w:t xml:space="preserve"> )</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S. V. Mohan, A. L. Chang, </w:t>
      </w:r>
      <w:proofErr w:type="spellStart"/>
      <w:r>
        <w:rPr>
          <w:rFonts w:ascii="Times New Roman" w:hAnsi="Times New Roman" w:cs="Times New Roman"/>
          <w:i/>
          <w:iCs/>
          <w:sz w:val="24"/>
          <w:szCs w:val="24"/>
        </w:rPr>
        <w:t>Clin</w:t>
      </w:r>
      <w:proofErr w:type="spellEnd"/>
      <w:r>
        <w:rPr>
          <w:rFonts w:ascii="Times New Roman" w:hAnsi="Times New Roman" w:cs="Times New Roman"/>
          <w:i/>
          <w:iCs/>
          <w:sz w:val="24"/>
          <w:szCs w:val="24"/>
        </w:rPr>
        <w:t xml:space="preserve">. Cancer Res. </w:t>
      </w:r>
      <w:r>
        <w:rPr>
          <w:rFonts w:ascii="Times New Roman" w:hAnsi="Times New Roman" w:cs="Times New Roman"/>
          <w:b/>
          <w:sz w:val="24"/>
          <w:szCs w:val="24"/>
        </w:rPr>
        <w:t>21</w:t>
      </w:r>
      <w:r>
        <w:rPr>
          <w:rFonts w:ascii="Times New Roman" w:hAnsi="Times New Roman" w:cs="Times New Roman"/>
          <w:sz w:val="24"/>
          <w:szCs w:val="24"/>
        </w:rPr>
        <w:t xml:space="preserve"> (2015) 2677 (</w:t>
      </w:r>
      <w:hyperlink r:id="rId45" w:tgtFrame="_blank" w:history="1">
        <w:r>
          <w:rPr>
            <w:rStyle w:val="Hyperlink"/>
            <w:rFonts w:ascii="Times New Roman" w:hAnsi="Times New Roman" w:cs="Times New Roman"/>
            <w:sz w:val="24"/>
            <w:szCs w:val="24"/>
          </w:rPr>
          <w:t>http://dx.doi.org/10.1158/1078-0432.CCR-14-3180</w:t>
        </w:r>
      </w:hyperlink>
      <w:r>
        <w:rPr>
          <w:rFonts w:ascii="Times New Roman" w:hAnsi="Times New Roman" w:cs="Times New Roman"/>
          <w:sz w:val="24"/>
          <w:szCs w:val="24"/>
        </w:rPr>
        <w:t>)</w:t>
      </w:r>
    </w:p>
    <w:p>
      <w:pPr>
        <w:pStyle w:val="HTMLPreformatted"/>
        <w:numPr>
          <w:ilvl w:val="0"/>
          <w:numId w:val="1"/>
        </w:numPr>
        <w:spacing w:line="360" w:lineRule="auto"/>
        <w:ind w:left="714" w:hanging="357"/>
        <w:jc w:val="both"/>
        <w:rPr>
          <w:rFonts w:ascii="Times New Roman" w:hAnsi="Times New Roman" w:cs="Times New Roman"/>
          <w:sz w:val="24"/>
          <w:szCs w:val="24"/>
        </w:rPr>
      </w:pPr>
      <w:r>
        <w:rPr>
          <w:rFonts w:ascii="Times New Roman" w:hAnsi="Times New Roman" w:cs="Times New Roman"/>
          <w:sz w:val="24"/>
          <w:szCs w:val="24"/>
        </w:rPr>
        <w:t xml:space="preserve">M. Xin, X. Ji, L. K. de la Cruz, S. </w:t>
      </w:r>
      <w:proofErr w:type="spellStart"/>
      <w:r>
        <w:rPr>
          <w:rFonts w:ascii="Times New Roman" w:hAnsi="Times New Roman" w:cs="Times New Roman"/>
          <w:sz w:val="24"/>
          <w:szCs w:val="24"/>
        </w:rPr>
        <w:t>Thareja</w:t>
      </w:r>
      <w:proofErr w:type="spellEnd"/>
      <w:r>
        <w:rPr>
          <w:rFonts w:ascii="Times New Roman" w:hAnsi="Times New Roman" w:cs="Times New Roman"/>
          <w:sz w:val="24"/>
          <w:szCs w:val="24"/>
        </w:rPr>
        <w:t xml:space="preserve">, B. Wang, </w:t>
      </w:r>
      <w:r>
        <w:rPr>
          <w:rFonts w:ascii="Times New Roman" w:hAnsi="Times New Roman" w:cs="Times New Roman"/>
          <w:i/>
          <w:sz w:val="24"/>
          <w:szCs w:val="24"/>
        </w:rPr>
        <w:t>Med. Res. Rev.</w:t>
      </w:r>
      <w:r>
        <w:rPr>
          <w:rFonts w:ascii="Times New Roman" w:hAnsi="Times New Roman" w:cs="Times New Roman"/>
          <w:sz w:val="24"/>
          <w:szCs w:val="24"/>
        </w:rPr>
        <w:t xml:space="preserve"> </w:t>
      </w:r>
      <w:r>
        <w:rPr>
          <w:rFonts w:ascii="Times New Roman" w:hAnsi="Times New Roman" w:cs="Times New Roman"/>
          <w:b/>
          <w:sz w:val="24"/>
          <w:szCs w:val="24"/>
        </w:rPr>
        <w:t xml:space="preserve">38 </w:t>
      </w:r>
      <w:r>
        <w:rPr>
          <w:rFonts w:ascii="Times New Roman" w:hAnsi="Times New Roman" w:cs="Times New Roman"/>
          <w:sz w:val="24"/>
          <w:szCs w:val="24"/>
        </w:rPr>
        <w:t>(2018) 870 (</w:t>
      </w:r>
      <w:hyperlink r:id="rId46" w:tgtFrame="_blank" w:history="1">
        <w:r>
          <w:rPr>
            <w:rStyle w:val="Hyperlink"/>
            <w:rFonts w:ascii="Times New Roman" w:hAnsi="Times New Roman" w:cs="Times New Roman"/>
            <w:sz w:val="24"/>
            <w:szCs w:val="24"/>
          </w:rPr>
          <w:t>http://dx.doi.org/10.1002/med.21482</w:t>
        </w:r>
      </w:hyperlink>
      <w:r>
        <w:rPr>
          <w:rFonts w:ascii="Times New Roman" w:hAnsi="Times New Roman" w:cs="Times New Roman"/>
          <w:sz w:val="24"/>
          <w:szCs w:val="24"/>
        </w:rPr>
        <w:t>)</w:t>
      </w:r>
    </w:p>
    <w:p>
      <w:pPr>
        <w:pStyle w:val="ListParagraph"/>
        <w:numPr>
          <w:ilvl w:val="0"/>
          <w:numId w:val="1"/>
        </w:numPr>
        <w:spacing w:after="0" w:line="360" w:lineRule="auto"/>
        <w:ind w:left="714" w:hanging="357"/>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 xml:space="preserve">W. Lu, D. </w:t>
      </w:r>
      <w:proofErr w:type="spellStart"/>
      <w:r>
        <w:rPr>
          <w:rFonts w:ascii="Times New Roman" w:hAnsi="Times New Roman" w:cs="Times New Roman"/>
          <w:sz w:val="24"/>
          <w:szCs w:val="24"/>
        </w:rPr>
        <w:t>Geng</w:t>
      </w:r>
      <w:proofErr w:type="spellEnd"/>
      <w:r>
        <w:rPr>
          <w:rFonts w:ascii="Times New Roman" w:hAnsi="Times New Roman" w:cs="Times New Roman"/>
          <w:sz w:val="24"/>
          <w:szCs w:val="24"/>
        </w:rPr>
        <w:t xml:space="preserve">, Z. Sun, Z. Yang, H. Ma, J. Zheng, X. Zhang, </w:t>
      </w:r>
      <w:proofErr w:type="spellStart"/>
      <w:r>
        <w:rPr>
          <w:rFonts w:ascii="Times New Roman" w:hAnsi="Times New Roman" w:cs="Times New Roman"/>
          <w:i/>
          <w:sz w:val="24"/>
          <w:szCs w:val="24"/>
        </w:rPr>
        <w:t>Bioorg</w:t>
      </w:r>
      <w:proofErr w:type="spellEnd"/>
      <w:r>
        <w:rPr>
          <w:rFonts w:ascii="Times New Roman" w:hAnsi="Times New Roman" w:cs="Times New Roman"/>
          <w:i/>
          <w:sz w:val="24"/>
          <w:szCs w:val="24"/>
        </w:rPr>
        <w:t xml:space="preserve">. Med. Chem. Lett. </w:t>
      </w:r>
      <w:r>
        <w:rPr>
          <w:rFonts w:ascii="Times New Roman" w:hAnsi="Times New Roman" w:cs="Times New Roman"/>
          <w:b/>
          <w:sz w:val="24"/>
          <w:szCs w:val="24"/>
        </w:rPr>
        <w:t xml:space="preserve">24 </w:t>
      </w:r>
      <w:r>
        <w:rPr>
          <w:rFonts w:ascii="Times New Roman" w:hAnsi="Times New Roman" w:cs="Times New Roman"/>
          <w:sz w:val="24"/>
          <w:szCs w:val="24"/>
        </w:rPr>
        <w:t>(2014) 2300 (</w:t>
      </w:r>
      <w:hyperlink r:id="rId47" w:tgtFrame="_blank" w:tooltip="Persistent link using digital object identifier" w:history="1">
        <w:r>
          <w:rPr>
            <w:rStyle w:val="Hyperlink"/>
            <w:rFonts w:ascii="Times New Roman" w:hAnsi="Times New Roman" w:cs="Times New Roman"/>
            <w:sz w:val="24"/>
            <w:szCs w:val="24"/>
          </w:rPr>
          <w:t>https://doi.org/10.1016/j.bmcl.2014.03.079</w:t>
        </w:r>
      </w:hyperlink>
      <w:r>
        <w:rPr>
          <w:rFonts w:ascii="Times New Roman" w:hAnsi="Times New Roman" w:cs="Times New Roman"/>
          <w:sz w:val="24"/>
          <w:szCs w:val="24"/>
        </w:rPr>
        <w:t>)</w:t>
      </w:r>
    </w:p>
    <w:p>
      <w:pPr>
        <w:pStyle w:val="HTMLPreformatted"/>
        <w:numPr>
          <w:ilvl w:val="0"/>
          <w:numId w:val="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 L. Dixon, A. M. </w:t>
      </w:r>
      <w:proofErr w:type="spellStart"/>
      <w:r>
        <w:rPr>
          <w:rFonts w:ascii="Times New Roman" w:hAnsi="Times New Roman" w:cs="Times New Roman"/>
          <w:color w:val="000000" w:themeColor="text1"/>
          <w:sz w:val="24"/>
          <w:szCs w:val="24"/>
        </w:rPr>
        <w:t>Smondyrev</w:t>
      </w:r>
      <w:proofErr w:type="spellEnd"/>
      <w:r>
        <w:rPr>
          <w:rFonts w:ascii="Times New Roman" w:hAnsi="Times New Roman" w:cs="Times New Roman"/>
          <w:color w:val="000000" w:themeColor="text1"/>
          <w:sz w:val="24"/>
          <w:szCs w:val="24"/>
        </w:rPr>
        <w:t xml:space="preserve">, E. H. Knoll, S. N. Rao, D. E. Shaw, R. A. </w:t>
      </w:r>
      <w:proofErr w:type="spellStart"/>
      <w:r>
        <w:rPr>
          <w:rFonts w:ascii="Times New Roman" w:hAnsi="Times New Roman" w:cs="Times New Roman"/>
          <w:color w:val="000000" w:themeColor="text1"/>
          <w:sz w:val="24"/>
          <w:szCs w:val="24"/>
        </w:rPr>
        <w:t>Friesner</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 xml:space="preserve">J. </w:t>
      </w:r>
      <w:proofErr w:type="spellStart"/>
      <w:r>
        <w:rPr>
          <w:rFonts w:ascii="Times New Roman" w:hAnsi="Times New Roman" w:cs="Times New Roman"/>
          <w:i/>
          <w:color w:val="000000" w:themeColor="text1"/>
          <w:sz w:val="24"/>
          <w:szCs w:val="24"/>
        </w:rPr>
        <w:t>Comput</w:t>
      </w:r>
      <w:proofErr w:type="spellEnd"/>
      <w:r>
        <w:rPr>
          <w:rFonts w:ascii="Times New Roman" w:hAnsi="Times New Roman" w:cs="Times New Roman"/>
          <w:i/>
          <w:color w:val="000000" w:themeColor="text1"/>
          <w:sz w:val="24"/>
          <w:szCs w:val="24"/>
        </w:rPr>
        <w:t>. Aided Mol. Design</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 xml:space="preserve">20 </w:t>
      </w:r>
      <w:r>
        <w:rPr>
          <w:rFonts w:ascii="Times New Roman" w:hAnsi="Times New Roman" w:cs="Times New Roman"/>
          <w:color w:val="000000" w:themeColor="text1"/>
          <w:sz w:val="24"/>
          <w:szCs w:val="24"/>
        </w:rPr>
        <w:t>(2006) 647 (</w:t>
      </w:r>
      <w:hyperlink r:id="rId48" w:tgtFrame="_blank" w:history="1">
        <w:r>
          <w:rPr>
            <w:rStyle w:val="Hyperlink"/>
            <w:rFonts w:ascii="Times New Roman" w:hAnsi="Times New Roman" w:cs="Times New Roman"/>
            <w:color w:val="0070C0"/>
            <w:sz w:val="24"/>
            <w:szCs w:val="24"/>
          </w:rPr>
          <w:t>http://dx.doi.org/10.1007/s10822-006-9087-6</w:t>
        </w:r>
      </w:hyperlink>
      <w:r>
        <w:rPr>
          <w:rFonts w:ascii="Times New Roman" w:hAnsi="Times New Roman" w:cs="Times New Roman"/>
          <w:color w:val="000000" w:themeColor="text1"/>
          <w:sz w:val="24"/>
          <w:szCs w:val="24"/>
        </w:rPr>
        <w:t>)</w:t>
      </w:r>
    </w:p>
    <w:p>
      <w:pPr>
        <w:pStyle w:val="ListParagraph"/>
        <w:numPr>
          <w:ilvl w:val="0"/>
          <w:numId w:val="1"/>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R. A. </w:t>
      </w:r>
      <w:proofErr w:type="spellStart"/>
      <w:r>
        <w:rPr>
          <w:rFonts w:ascii="Times New Roman" w:hAnsi="Times New Roman" w:cs="Times New Roman"/>
          <w:color w:val="000000" w:themeColor="text1"/>
          <w:sz w:val="24"/>
          <w:szCs w:val="24"/>
        </w:rPr>
        <w:t>Friesner</w:t>
      </w:r>
      <w:proofErr w:type="spellEnd"/>
      <w:r>
        <w:rPr>
          <w:rFonts w:ascii="Times New Roman" w:hAnsi="Times New Roman" w:cs="Times New Roman"/>
          <w:color w:val="000000" w:themeColor="text1"/>
          <w:sz w:val="24"/>
          <w:szCs w:val="24"/>
        </w:rPr>
        <w:t xml:space="preserve">, J. L. Banks, R. B. Murphy, T. A. </w:t>
      </w:r>
      <w:proofErr w:type="spellStart"/>
      <w:r>
        <w:rPr>
          <w:rFonts w:ascii="Times New Roman" w:hAnsi="Times New Roman" w:cs="Times New Roman"/>
          <w:color w:val="000000" w:themeColor="text1"/>
          <w:sz w:val="24"/>
          <w:szCs w:val="24"/>
        </w:rPr>
        <w:t>Halgren</w:t>
      </w:r>
      <w:proofErr w:type="spellEnd"/>
      <w:r>
        <w:rPr>
          <w:rFonts w:ascii="Times New Roman" w:hAnsi="Times New Roman" w:cs="Times New Roman"/>
          <w:color w:val="000000" w:themeColor="text1"/>
          <w:sz w:val="24"/>
          <w:szCs w:val="24"/>
        </w:rPr>
        <w:t xml:space="preserve">, J. J. </w:t>
      </w:r>
      <w:proofErr w:type="spellStart"/>
      <w:r>
        <w:rPr>
          <w:rFonts w:ascii="Times New Roman" w:hAnsi="Times New Roman" w:cs="Times New Roman"/>
          <w:color w:val="000000" w:themeColor="text1"/>
          <w:sz w:val="24"/>
          <w:szCs w:val="24"/>
        </w:rPr>
        <w:t>Klicic</w:t>
      </w:r>
      <w:proofErr w:type="spellEnd"/>
      <w:r>
        <w:rPr>
          <w:rFonts w:ascii="Times New Roman" w:hAnsi="Times New Roman" w:cs="Times New Roman"/>
          <w:color w:val="000000" w:themeColor="text1"/>
          <w:sz w:val="24"/>
          <w:szCs w:val="24"/>
        </w:rPr>
        <w:t xml:space="preserve">, D. T. Mainz, M. P. </w:t>
      </w:r>
      <w:proofErr w:type="spellStart"/>
      <w:r>
        <w:rPr>
          <w:rFonts w:ascii="Times New Roman" w:hAnsi="Times New Roman" w:cs="Times New Roman"/>
          <w:color w:val="000000" w:themeColor="text1"/>
          <w:sz w:val="24"/>
          <w:szCs w:val="24"/>
        </w:rPr>
        <w:t>Repasky</w:t>
      </w:r>
      <w:proofErr w:type="spellEnd"/>
      <w:r>
        <w:rPr>
          <w:rFonts w:ascii="Times New Roman" w:hAnsi="Times New Roman" w:cs="Times New Roman"/>
          <w:color w:val="000000" w:themeColor="text1"/>
          <w:sz w:val="24"/>
          <w:szCs w:val="24"/>
        </w:rPr>
        <w:t xml:space="preserve">, E. H. Knoll, D. E. Shaw, M. Shelley, J. K. Perry, P. Francis, P. S. </w:t>
      </w:r>
      <w:proofErr w:type="spellStart"/>
      <w:r>
        <w:rPr>
          <w:rFonts w:ascii="Times New Roman" w:hAnsi="Times New Roman" w:cs="Times New Roman"/>
          <w:color w:val="000000" w:themeColor="text1"/>
          <w:sz w:val="24"/>
          <w:szCs w:val="24"/>
        </w:rPr>
        <w:t>Shenkin</w:t>
      </w:r>
      <w:proofErr w:type="spellEnd"/>
      <w:r>
        <w:rPr>
          <w:rFonts w:ascii="Times New Roman" w:hAnsi="Times New Roman" w:cs="Times New Roman"/>
          <w:color w:val="000000" w:themeColor="text1"/>
          <w:sz w:val="24"/>
          <w:szCs w:val="24"/>
        </w:rPr>
        <w:t xml:space="preserve">, </w:t>
      </w:r>
      <w:r>
        <w:rPr>
          <w:rFonts w:ascii="Times New Roman" w:hAnsi="Times New Roman" w:cs="Times New Roman"/>
          <w:i/>
          <w:color w:val="000000" w:themeColor="text1"/>
          <w:sz w:val="24"/>
          <w:szCs w:val="24"/>
        </w:rPr>
        <w:t>J. Med. Chem.</w:t>
      </w:r>
      <w:r>
        <w:rPr>
          <w:rFonts w:ascii="Times New Roman" w:hAnsi="Times New Roman" w:cs="Times New Roman"/>
          <w:color w:val="000000" w:themeColor="text1"/>
          <w:sz w:val="24"/>
          <w:szCs w:val="24"/>
        </w:rPr>
        <w:t xml:space="preserve"> </w:t>
      </w:r>
      <w:r>
        <w:rPr>
          <w:rFonts w:ascii="Times New Roman" w:hAnsi="Times New Roman" w:cs="Times New Roman"/>
          <w:b/>
          <w:color w:val="000000" w:themeColor="text1"/>
          <w:sz w:val="24"/>
          <w:szCs w:val="24"/>
        </w:rPr>
        <w:t>47</w:t>
      </w:r>
      <w:r>
        <w:rPr>
          <w:rFonts w:ascii="Times New Roman" w:hAnsi="Times New Roman" w:cs="Times New Roman"/>
          <w:color w:val="000000" w:themeColor="text1"/>
          <w:sz w:val="24"/>
          <w:szCs w:val="24"/>
        </w:rPr>
        <w:t xml:space="preserve"> (2004) 1739 (</w:t>
      </w:r>
      <w:hyperlink r:id="rId49" w:tooltip="DOI URL" w:history="1">
        <w:r>
          <w:rPr>
            <w:rStyle w:val="Hyperlink"/>
            <w:rFonts w:ascii="Times New Roman" w:hAnsi="Times New Roman" w:cs="Times New Roman"/>
            <w:color w:val="0070C0"/>
            <w:sz w:val="24"/>
            <w:szCs w:val="24"/>
          </w:rPr>
          <w:t>https://doi.org/10.1021/jm0306430</w:t>
        </w:r>
      </w:hyperlink>
      <w:r>
        <w:rPr>
          <w:rFonts w:ascii="Times New Roman" w:hAnsi="Times New Roman" w:cs="Times New Roman"/>
          <w:color w:val="000000" w:themeColor="text1"/>
          <w:sz w:val="24"/>
          <w:szCs w:val="24"/>
        </w:rPr>
        <w:t>)</w:t>
      </w:r>
    </w:p>
    <w:p>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 Sherman, T. Day, M. P. Jacobson, R. A. </w:t>
      </w:r>
      <w:proofErr w:type="spellStart"/>
      <w:r>
        <w:rPr>
          <w:rFonts w:ascii="Times New Roman" w:hAnsi="Times New Roman" w:cs="Times New Roman"/>
          <w:sz w:val="24"/>
          <w:szCs w:val="24"/>
        </w:rPr>
        <w:t>Friesner</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Farid</w:t>
      </w:r>
      <w:proofErr w:type="spellEnd"/>
      <w:r>
        <w:rPr>
          <w:rFonts w:ascii="Times New Roman" w:hAnsi="Times New Roman" w:cs="Times New Roman"/>
          <w:sz w:val="24"/>
          <w:szCs w:val="24"/>
        </w:rPr>
        <w:t xml:space="preserve">, </w:t>
      </w:r>
      <w:r>
        <w:rPr>
          <w:rFonts w:ascii="Times New Roman" w:hAnsi="Times New Roman" w:cs="Times New Roman"/>
          <w:i/>
          <w:sz w:val="24"/>
          <w:szCs w:val="24"/>
        </w:rPr>
        <w:t>J. Med. Chem</w:t>
      </w:r>
      <w:r>
        <w:rPr>
          <w:rFonts w:ascii="Times New Roman" w:hAnsi="Times New Roman" w:cs="Times New Roman"/>
          <w:sz w:val="24"/>
          <w:szCs w:val="24"/>
        </w:rPr>
        <w:t xml:space="preserve">. </w:t>
      </w:r>
      <w:r>
        <w:rPr>
          <w:rFonts w:ascii="Times New Roman" w:hAnsi="Times New Roman" w:cs="Times New Roman"/>
          <w:b/>
          <w:sz w:val="24"/>
          <w:szCs w:val="24"/>
        </w:rPr>
        <w:t>49</w:t>
      </w:r>
      <w:r>
        <w:rPr>
          <w:rFonts w:ascii="Times New Roman" w:hAnsi="Times New Roman" w:cs="Times New Roman"/>
          <w:sz w:val="24"/>
          <w:szCs w:val="24"/>
        </w:rPr>
        <w:t xml:space="preserve"> (2006) 534 (</w:t>
      </w:r>
      <w:hyperlink r:id="rId50" w:tooltip="DOI URL" w:history="1">
        <w:r>
          <w:rPr>
            <w:rStyle w:val="Hyperlink"/>
            <w:rFonts w:ascii="Times New Roman" w:hAnsi="Times New Roman" w:cs="Times New Roman"/>
            <w:color w:val="0070C0"/>
            <w:sz w:val="24"/>
            <w:szCs w:val="24"/>
          </w:rPr>
          <w:t>https://doi.org/10.1021/jm050540c</w:t>
        </w:r>
      </w:hyperlink>
      <w:r>
        <w:rPr>
          <w:rFonts w:ascii="Times New Roman" w:hAnsi="Times New Roman" w:cs="Times New Roman"/>
          <w:sz w:val="24"/>
          <w:szCs w:val="24"/>
        </w:rPr>
        <w:t>)</w:t>
      </w:r>
    </w:p>
    <w:p>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Golbraikh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Tropsha</w:t>
      </w:r>
      <w:proofErr w:type="spellEnd"/>
      <w:r>
        <w:rPr>
          <w:rFonts w:ascii="Times New Roman" w:hAnsi="Times New Roman" w:cs="Times New Roman"/>
          <w:sz w:val="24"/>
          <w:szCs w:val="24"/>
        </w:rPr>
        <w:t xml:space="preserve">, </w:t>
      </w:r>
      <w:r>
        <w:rPr>
          <w:rFonts w:ascii="Times New Roman" w:hAnsi="Times New Roman" w:cs="Times New Roman"/>
          <w:i/>
          <w:sz w:val="24"/>
          <w:szCs w:val="24"/>
        </w:rPr>
        <w:t>J. Mol. Graph. Model.</w:t>
      </w:r>
      <w:r>
        <w:rPr>
          <w:rFonts w:ascii="Times New Roman" w:hAnsi="Times New Roman" w:cs="Times New Roman"/>
          <w:sz w:val="24"/>
          <w:szCs w:val="24"/>
        </w:rPr>
        <w:t xml:space="preserve"> </w:t>
      </w:r>
      <w:r>
        <w:rPr>
          <w:rFonts w:ascii="Times New Roman" w:hAnsi="Times New Roman" w:cs="Times New Roman"/>
          <w:b/>
          <w:sz w:val="24"/>
          <w:szCs w:val="24"/>
        </w:rPr>
        <w:t>20</w:t>
      </w:r>
      <w:r>
        <w:rPr>
          <w:rFonts w:ascii="Times New Roman" w:hAnsi="Times New Roman" w:cs="Times New Roman"/>
          <w:sz w:val="24"/>
          <w:szCs w:val="24"/>
        </w:rPr>
        <w:t xml:space="preserve"> (2002) 269 (</w:t>
      </w:r>
      <w:hyperlink r:id="rId51" w:tgtFrame="_blank" w:tooltip="Persistent link using digital object identifier" w:history="1">
        <w:r>
          <w:rPr>
            <w:rStyle w:val="Hyperlink"/>
            <w:rFonts w:ascii="Times New Roman" w:hAnsi="Times New Roman" w:cs="Times New Roman"/>
            <w:color w:val="0070C0"/>
            <w:sz w:val="24"/>
            <w:szCs w:val="24"/>
          </w:rPr>
          <w:t>https://doi.org/10.1016/S1093-3263(01)00123-1</w:t>
        </w:r>
      </w:hyperlink>
      <w:r>
        <w:rPr>
          <w:rFonts w:ascii="Times New Roman" w:hAnsi="Times New Roman" w:cs="Times New Roman"/>
          <w:sz w:val="24"/>
          <w:szCs w:val="24"/>
        </w:rPr>
        <w:t>)</w:t>
      </w:r>
    </w:p>
    <w:p>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sz w:val="24"/>
          <w:szCs w:val="24"/>
        </w:rPr>
        <w:t>Golbraikh</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Tropsha</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J. </w:t>
      </w:r>
      <w:proofErr w:type="spellStart"/>
      <w:r>
        <w:rPr>
          <w:rFonts w:ascii="Times New Roman" w:hAnsi="Times New Roman" w:cs="Times New Roman"/>
          <w:i/>
          <w:sz w:val="24"/>
          <w:szCs w:val="24"/>
        </w:rPr>
        <w:t>Comput</w:t>
      </w:r>
      <w:proofErr w:type="spellEnd"/>
      <w:r>
        <w:rPr>
          <w:rFonts w:ascii="Times New Roman" w:hAnsi="Times New Roman" w:cs="Times New Roman"/>
          <w:i/>
          <w:sz w:val="24"/>
          <w:szCs w:val="24"/>
        </w:rPr>
        <w:t>. Aided Mol. Des.</w:t>
      </w:r>
      <w:r>
        <w:rPr>
          <w:rFonts w:ascii="Times New Roman" w:hAnsi="Times New Roman" w:cs="Times New Roman"/>
          <w:sz w:val="24"/>
          <w:szCs w:val="24"/>
        </w:rPr>
        <w:t xml:space="preserve"> </w:t>
      </w:r>
      <w:r>
        <w:rPr>
          <w:rFonts w:ascii="Times New Roman" w:hAnsi="Times New Roman" w:cs="Times New Roman"/>
          <w:b/>
          <w:sz w:val="24"/>
          <w:szCs w:val="24"/>
        </w:rPr>
        <w:t xml:space="preserve">16 </w:t>
      </w:r>
      <w:r>
        <w:rPr>
          <w:rFonts w:ascii="Times New Roman" w:hAnsi="Times New Roman" w:cs="Times New Roman"/>
          <w:sz w:val="24"/>
          <w:szCs w:val="24"/>
        </w:rPr>
        <w:t>(2002) 357 (</w:t>
      </w:r>
      <w:hyperlink r:id="rId52" w:history="1">
        <w:r>
          <w:rPr>
            <w:rStyle w:val="Hyperlink"/>
            <w:rFonts w:ascii="Times New Roman" w:hAnsi="Times New Roman" w:cs="Times New Roman"/>
            <w:sz w:val="24"/>
            <w:szCs w:val="24"/>
          </w:rPr>
          <w:t>https://doi.org/10.1023/A:1020869118689</w:t>
        </w:r>
      </w:hyperlink>
      <w:r>
        <w:rPr>
          <w:rFonts w:ascii="Times New Roman" w:hAnsi="Times New Roman" w:cs="Times New Roman"/>
          <w:sz w:val="24"/>
          <w:szCs w:val="24"/>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en-US"/>
        </w:rPr>
        <w:t xml:space="preserve">S. I. </w:t>
      </w:r>
      <w:proofErr w:type="spellStart"/>
      <w:r>
        <w:rPr>
          <w:rFonts w:ascii="Times New Roman" w:hAnsi="Times New Roman" w:cs="Times New Roman"/>
          <w:sz w:val="24"/>
          <w:szCs w:val="24"/>
          <w:lang w:val="en-US"/>
        </w:rPr>
        <w:t>Avram</w:t>
      </w:r>
      <w:proofErr w:type="spellEnd"/>
      <w:r>
        <w:rPr>
          <w:rFonts w:ascii="Times New Roman" w:hAnsi="Times New Roman" w:cs="Times New Roman"/>
          <w:sz w:val="24"/>
          <w:szCs w:val="24"/>
          <w:lang w:val="en-US"/>
        </w:rPr>
        <w:t xml:space="preserve">, L. M. </w:t>
      </w:r>
      <w:proofErr w:type="spellStart"/>
      <w:r>
        <w:rPr>
          <w:rFonts w:ascii="Times New Roman" w:hAnsi="Times New Roman" w:cs="Times New Roman"/>
          <w:sz w:val="24"/>
          <w:szCs w:val="24"/>
          <w:lang w:val="en-US"/>
        </w:rPr>
        <w:t>Pacureanu</w:t>
      </w:r>
      <w:proofErr w:type="spellEnd"/>
      <w:r>
        <w:rPr>
          <w:rFonts w:ascii="Times New Roman" w:hAnsi="Times New Roman" w:cs="Times New Roman"/>
          <w:sz w:val="24"/>
          <w:szCs w:val="24"/>
          <w:lang w:val="en-US"/>
        </w:rPr>
        <w:t xml:space="preserve">, A. Bora, L. </w:t>
      </w:r>
      <w:proofErr w:type="spellStart"/>
      <w:r>
        <w:rPr>
          <w:rFonts w:ascii="Times New Roman" w:hAnsi="Times New Roman" w:cs="Times New Roman"/>
          <w:sz w:val="24"/>
          <w:szCs w:val="24"/>
          <w:lang w:val="en-US"/>
        </w:rPr>
        <w:t>Crisan</w:t>
      </w:r>
      <w:proofErr w:type="spellEnd"/>
      <w:r>
        <w:rPr>
          <w:rFonts w:ascii="Times New Roman" w:hAnsi="Times New Roman" w:cs="Times New Roman"/>
          <w:sz w:val="24"/>
          <w:szCs w:val="24"/>
          <w:lang w:val="en-US"/>
        </w:rPr>
        <w:t xml:space="preserve">, S. </w:t>
      </w:r>
      <w:proofErr w:type="spellStart"/>
      <w:r>
        <w:rPr>
          <w:rFonts w:ascii="Times New Roman" w:hAnsi="Times New Roman" w:cs="Times New Roman"/>
          <w:sz w:val="24"/>
          <w:szCs w:val="24"/>
          <w:lang w:val="en-US"/>
        </w:rPr>
        <w:t>Avram</w:t>
      </w:r>
      <w:proofErr w:type="spellEnd"/>
      <w:r>
        <w:rPr>
          <w:rFonts w:ascii="Times New Roman" w:hAnsi="Times New Roman" w:cs="Times New Roman"/>
          <w:sz w:val="24"/>
          <w:szCs w:val="24"/>
          <w:lang w:val="en-US"/>
        </w:rPr>
        <w:t xml:space="preserve">, L. </w:t>
      </w:r>
      <w:proofErr w:type="spellStart"/>
      <w:r>
        <w:rPr>
          <w:rFonts w:ascii="Times New Roman" w:hAnsi="Times New Roman" w:cs="Times New Roman"/>
          <w:sz w:val="24"/>
          <w:szCs w:val="24"/>
          <w:lang w:val="en-US"/>
        </w:rPr>
        <w:t>Kurunczi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rPr>
        <w:t xml:space="preserve">J. Chem. Inform. Model. </w:t>
      </w:r>
      <w:r>
        <w:rPr>
          <w:rFonts w:ascii="Times New Roman" w:hAnsi="Times New Roman" w:cs="Times New Roman"/>
          <w:i/>
          <w:sz w:val="24"/>
          <w:szCs w:val="24"/>
          <w:lang w:val="en-US"/>
        </w:rPr>
        <w:t xml:space="preserve"> </w:t>
      </w:r>
      <w:r>
        <w:rPr>
          <w:rFonts w:ascii="Times New Roman" w:hAnsi="Times New Roman" w:cs="Times New Roman"/>
          <w:b/>
          <w:sz w:val="24"/>
          <w:szCs w:val="24"/>
          <w:lang w:val="en-US"/>
        </w:rPr>
        <w:t>54</w:t>
      </w:r>
      <w:r>
        <w:rPr>
          <w:rFonts w:ascii="Times New Roman" w:hAnsi="Times New Roman" w:cs="Times New Roman"/>
          <w:sz w:val="24"/>
          <w:szCs w:val="24"/>
          <w:lang w:val="en-US"/>
        </w:rPr>
        <w:t xml:space="preserve"> (2014) 2360 (</w:t>
      </w:r>
      <w:hyperlink r:id="rId53" w:tgtFrame="_blank" w:history="1">
        <w:r>
          <w:rPr>
            <w:rStyle w:val="Hyperlink"/>
            <w:rFonts w:ascii="Times New Roman" w:hAnsi="Times New Roman" w:cs="Times New Roman"/>
            <w:sz w:val="24"/>
            <w:szCs w:val="24"/>
          </w:rPr>
          <w:t>http://dx.doi.org/10.1021/ci5002668</w:t>
        </w:r>
      </w:hyperlink>
      <w:r>
        <w:rPr>
          <w:rFonts w:ascii="Times New Roman" w:hAnsi="Times New Roman" w:cs="Times New Roman"/>
          <w:sz w:val="24"/>
          <w:szCs w:val="24"/>
          <w:lang w:val="en-US"/>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en"/>
        </w:rPr>
        <w:t xml:space="preserve">J. A. Hanley, B. J. McNeil, </w:t>
      </w:r>
      <w:r>
        <w:rPr>
          <w:rFonts w:ascii="Times New Roman" w:hAnsi="Times New Roman" w:cs="Times New Roman"/>
          <w:i/>
          <w:sz w:val="24"/>
          <w:szCs w:val="24"/>
          <w:lang w:val="en"/>
        </w:rPr>
        <w:t>Radiology</w:t>
      </w:r>
      <w:r>
        <w:rPr>
          <w:rFonts w:ascii="Times New Roman" w:hAnsi="Times New Roman" w:cs="Times New Roman"/>
          <w:sz w:val="24"/>
          <w:szCs w:val="24"/>
          <w:lang w:val="en"/>
        </w:rPr>
        <w:t xml:space="preserve"> </w:t>
      </w:r>
      <w:r>
        <w:rPr>
          <w:rFonts w:ascii="Times New Roman" w:hAnsi="Times New Roman" w:cs="Times New Roman"/>
          <w:b/>
          <w:sz w:val="24"/>
          <w:szCs w:val="24"/>
          <w:lang w:val="en"/>
        </w:rPr>
        <w:t>143</w:t>
      </w:r>
      <w:r>
        <w:rPr>
          <w:rFonts w:ascii="Times New Roman" w:hAnsi="Times New Roman" w:cs="Times New Roman"/>
          <w:sz w:val="24"/>
          <w:szCs w:val="24"/>
          <w:lang w:val="en"/>
        </w:rPr>
        <w:t xml:space="preserve"> (1982) 29 (</w:t>
      </w:r>
      <w:hyperlink r:id="rId54" w:tgtFrame="_blank" w:history="1">
        <w:r>
          <w:rPr>
            <w:rStyle w:val="Hyperlink"/>
            <w:rFonts w:ascii="Times New Roman" w:hAnsi="Times New Roman" w:cs="Times New Roman"/>
            <w:sz w:val="24"/>
            <w:szCs w:val="24"/>
          </w:rPr>
          <w:t>http://dx.doi.org/10.1148/radiology.143.1.7063747</w:t>
        </w:r>
      </w:hyperlink>
      <w:r>
        <w:rPr>
          <w:rFonts w:ascii="Times New Roman" w:hAnsi="Times New Roman" w:cs="Times New Roman"/>
          <w:sz w:val="24"/>
          <w:szCs w:val="24"/>
          <w:lang w:val="en"/>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lang w:val="en"/>
        </w:rPr>
        <w:t xml:space="preserve">J. F. </w:t>
      </w:r>
      <w:proofErr w:type="spellStart"/>
      <w:r>
        <w:rPr>
          <w:rFonts w:ascii="Times New Roman" w:hAnsi="Times New Roman" w:cs="Times New Roman"/>
          <w:sz w:val="24"/>
          <w:szCs w:val="24"/>
          <w:lang w:val="en"/>
        </w:rPr>
        <w:t>Truchon</w:t>
      </w:r>
      <w:proofErr w:type="spellEnd"/>
      <w:r>
        <w:rPr>
          <w:rFonts w:ascii="Times New Roman" w:hAnsi="Times New Roman" w:cs="Times New Roman"/>
          <w:sz w:val="24"/>
          <w:szCs w:val="24"/>
          <w:lang w:val="en"/>
        </w:rPr>
        <w:t xml:space="preserve">, C. I. J. </w:t>
      </w:r>
      <w:proofErr w:type="spellStart"/>
      <w:r>
        <w:rPr>
          <w:rFonts w:ascii="Times New Roman" w:hAnsi="Times New Roman" w:cs="Times New Roman"/>
          <w:sz w:val="24"/>
          <w:szCs w:val="24"/>
          <w:lang w:val="en"/>
        </w:rPr>
        <w:t>Bayly</w:t>
      </w:r>
      <w:proofErr w:type="spellEnd"/>
      <w:r>
        <w:rPr>
          <w:rFonts w:ascii="Times New Roman" w:hAnsi="Times New Roman" w:cs="Times New Roman"/>
          <w:sz w:val="24"/>
          <w:szCs w:val="24"/>
          <w:lang w:val="en"/>
        </w:rPr>
        <w:t xml:space="preserve">, </w:t>
      </w:r>
      <w:r>
        <w:rPr>
          <w:rFonts w:ascii="Times New Roman" w:hAnsi="Times New Roman" w:cs="Times New Roman"/>
          <w:i/>
          <w:sz w:val="24"/>
          <w:szCs w:val="24"/>
        </w:rPr>
        <w:t xml:space="preserve">J. Chem. Inform. Model. </w:t>
      </w:r>
      <w:r>
        <w:rPr>
          <w:rFonts w:ascii="Times New Roman" w:hAnsi="Times New Roman" w:cs="Times New Roman"/>
          <w:sz w:val="24"/>
          <w:szCs w:val="24"/>
          <w:lang w:val="en"/>
        </w:rPr>
        <w:t xml:space="preserve"> </w:t>
      </w:r>
      <w:r>
        <w:rPr>
          <w:rFonts w:ascii="Times New Roman" w:hAnsi="Times New Roman" w:cs="Times New Roman"/>
          <w:b/>
          <w:sz w:val="24"/>
          <w:szCs w:val="24"/>
          <w:lang w:val="en"/>
        </w:rPr>
        <w:t xml:space="preserve">47 </w:t>
      </w:r>
      <w:r>
        <w:rPr>
          <w:rFonts w:ascii="Times New Roman" w:hAnsi="Times New Roman" w:cs="Times New Roman"/>
          <w:sz w:val="24"/>
          <w:szCs w:val="24"/>
          <w:lang w:val="en"/>
        </w:rPr>
        <w:t>(2007) 488 (</w:t>
      </w:r>
      <w:hyperlink r:id="rId55" w:tgtFrame="_blank" w:history="1">
        <w:r>
          <w:rPr>
            <w:rStyle w:val="Hyperlink"/>
            <w:rFonts w:ascii="Times New Roman" w:hAnsi="Times New Roman" w:cs="Times New Roman"/>
            <w:sz w:val="24"/>
            <w:szCs w:val="24"/>
          </w:rPr>
          <w:t>http://dx.doi.org/10.1021/ci600426e</w:t>
        </w:r>
      </w:hyperlink>
      <w:r>
        <w:rPr>
          <w:rFonts w:ascii="Times New Roman" w:hAnsi="Times New Roman" w:cs="Times New Roman"/>
          <w:sz w:val="24"/>
          <w:szCs w:val="24"/>
          <w:lang w:val="en"/>
        </w:rPr>
        <w:t>)</w:t>
      </w:r>
      <w:r>
        <w:rPr>
          <w:rFonts w:ascii="Times New Roman" w:hAnsi="Times New Roman" w:cs="Times New Roman"/>
          <w:sz w:val="24"/>
          <w:szCs w:val="24"/>
        </w:rPr>
        <w:t xml:space="preserve"> </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 Hall, E. Frank, G. Holmes, B. </w:t>
      </w:r>
      <w:proofErr w:type="spellStart"/>
      <w:r>
        <w:rPr>
          <w:rFonts w:ascii="Times New Roman" w:hAnsi="Times New Roman" w:cs="Times New Roman"/>
          <w:sz w:val="24"/>
          <w:szCs w:val="24"/>
        </w:rPr>
        <w:t>Pfahringer</w:t>
      </w:r>
      <w:proofErr w:type="spellEnd"/>
      <w:r>
        <w:rPr>
          <w:rFonts w:ascii="Times New Roman" w:hAnsi="Times New Roman" w:cs="Times New Roman"/>
          <w:sz w:val="24"/>
          <w:szCs w:val="24"/>
        </w:rPr>
        <w:t xml:space="preserve">, P. </w:t>
      </w:r>
      <w:proofErr w:type="spellStart"/>
      <w:r>
        <w:rPr>
          <w:rFonts w:ascii="Times New Roman" w:hAnsi="Times New Roman" w:cs="Times New Roman"/>
          <w:sz w:val="24"/>
          <w:szCs w:val="24"/>
        </w:rPr>
        <w:t>Reutemann</w:t>
      </w:r>
      <w:proofErr w:type="spellEnd"/>
      <w:r>
        <w:rPr>
          <w:rFonts w:ascii="Times New Roman" w:hAnsi="Times New Roman" w:cs="Times New Roman"/>
          <w:sz w:val="24"/>
          <w:szCs w:val="24"/>
        </w:rPr>
        <w:t xml:space="preserve">, I. H. Witten, </w:t>
      </w:r>
      <w:r>
        <w:rPr>
          <w:rFonts w:ascii="Times New Roman" w:hAnsi="Times New Roman" w:cs="Times New Roman"/>
          <w:i/>
          <w:sz w:val="24"/>
          <w:szCs w:val="24"/>
        </w:rPr>
        <w:t xml:space="preserve">SIGKDD </w:t>
      </w:r>
      <w:proofErr w:type="spellStart"/>
      <w:r>
        <w:rPr>
          <w:rFonts w:ascii="Times New Roman" w:hAnsi="Times New Roman" w:cs="Times New Roman"/>
          <w:i/>
          <w:sz w:val="24"/>
          <w:szCs w:val="24"/>
        </w:rPr>
        <w:t>Explor</w:t>
      </w:r>
      <w:proofErr w:type="spellEnd"/>
      <w:r>
        <w:rPr>
          <w:rFonts w:ascii="Times New Roman" w:hAnsi="Times New Roman" w:cs="Times New Roman"/>
          <w:i/>
          <w:sz w:val="24"/>
          <w:szCs w:val="24"/>
        </w:rPr>
        <w:t>. Newsletter</w:t>
      </w:r>
      <w:r>
        <w:rPr>
          <w:rFonts w:ascii="Times New Roman" w:hAnsi="Times New Roman" w:cs="Times New Roman"/>
          <w:sz w:val="24"/>
          <w:szCs w:val="24"/>
        </w:rPr>
        <w:t xml:space="preserve"> </w:t>
      </w:r>
      <w:r>
        <w:rPr>
          <w:rFonts w:ascii="Times New Roman" w:hAnsi="Times New Roman" w:cs="Times New Roman"/>
          <w:b/>
          <w:sz w:val="24"/>
          <w:szCs w:val="24"/>
        </w:rPr>
        <w:t xml:space="preserve">11 </w:t>
      </w:r>
      <w:r>
        <w:rPr>
          <w:rFonts w:ascii="Times New Roman" w:hAnsi="Times New Roman" w:cs="Times New Roman"/>
          <w:sz w:val="24"/>
          <w:szCs w:val="24"/>
        </w:rPr>
        <w:t>(2009) 10 (</w:t>
      </w:r>
      <w:hyperlink r:id="rId56" w:tgtFrame="_blank" w:history="1">
        <w:r>
          <w:rPr>
            <w:rStyle w:val="Hyperlink"/>
            <w:rFonts w:ascii="Times New Roman" w:hAnsi="Times New Roman" w:cs="Times New Roman"/>
            <w:sz w:val="24"/>
            <w:szCs w:val="24"/>
          </w:rPr>
          <w:t>http://dx.doi.org/10.1145/1656274.1656278</w:t>
        </w:r>
      </w:hyperlink>
      <w:r>
        <w:rPr>
          <w:rFonts w:ascii="Times New Roman" w:hAnsi="Times New Roman" w:cs="Times New Roman"/>
          <w:sz w:val="24"/>
          <w:szCs w:val="24"/>
        </w:rPr>
        <w:t>)</w:t>
      </w:r>
    </w:p>
    <w:p>
      <w:pPr>
        <w:pStyle w:val="ListParagraph"/>
        <w:numPr>
          <w:ilvl w:val="0"/>
          <w:numId w:val="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 Fawcett, </w:t>
      </w:r>
      <w:r>
        <w:rPr>
          <w:rFonts w:ascii="Times New Roman" w:hAnsi="Times New Roman" w:cs="Times New Roman"/>
          <w:i/>
          <w:sz w:val="24"/>
          <w:szCs w:val="24"/>
          <w:lang w:val="en-US"/>
        </w:rPr>
        <w:t xml:space="preserve">Pattern </w:t>
      </w:r>
      <w:proofErr w:type="spellStart"/>
      <w:r>
        <w:rPr>
          <w:rFonts w:ascii="Times New Roman" w:hAnsi="Times New Roman" w:cs="Times New Roman"/>
          <w:i/>
          <w:sz w:val="24"/>
          <w:szCs w:val="24"/>
          <w:lang w:val="en-US"/>
        </w:rPr>
        <w:t>Recognit</w:t>
      </w:r>
      <w:proofErr w:type="spellEnd"/>
      <w:r>
        <w:rPr>
          <w:rFonts w:ascii="Times New Roman" w:hAnsi="Times New Roman" w:cs="Times New Roman"/>
          <w:i/>
          <w:sz w:val="24"/>
          <w:szCs w:val="24"/>
          <w:lang w:val="en-US"/>
        </w:rPr>
        <w:t>. Lett.</w:t>
      </w:r>
      <w:r>
        <w:rPr>
          <w:rFonts w:ascii="Times New Roman" w:hAnsi="Times New Roman" w:cs="Times New Roman"/>
          <w:sz w:val="24"/>
          <w:szCs w:val="24"/>
          <w:lang w:val="en-US"/>
        </w:rPr>
        <w:t xml:space="preserve"> </w:t>
      </w:r>
      <w:r>
        <w:rPr>
          <w:rFonts w:ascii="Times New Roman" w:hAnsi="Times New Roman" w:cs="Times New Roman"/>
          <w:b/>
          <w:sz w:val="24"/>
          <w:szCs w:val="24"/>
          <w:lang w:val="en-US"/>
        </w:rPr>
        <w:t xml:space="preserve">27 </w:t>
      </w:r>
      <w:r>
        <w:rPr>
          <w:rFonts w:ascii="Times New Roman" w:hAnsi="Times New Roman" w:cs="Times New Roman"/>
          <w:sz w:val="24"/>
          <w:szCs w:val="24"/>
          <w:lang w:val="en-US"/>
        </w:rPr>
        <w:t>(2006) 861  (</w:t>
      </w:r>
      <w:hyperlink r:id="rId57" w:history="1">
        <w:r>
          <w:rPr>
            <w:rStyle w:val="Hyperlink"/>
            <w:rFonts w:ascii="Times New Roman" w:hAnsi="Times New Roman" w:cs="Times New Roman"/>
            <w:sz w:val="24"/>
            <w:szCs w:val="24"/>
          </w:rPr>
          <w:t>http://dx.doi.org/10.1016/j.patrec.2005.10.010</w:t>
        </w:r>
      </w:hyperlink>
      <w:r>
        <w:rPr>
          <w:rFonts w:ascii="Times New Roman" w:hAnsi="Times New Roman" w:cs="Times New Roman"/>
          <w:sz w:val="24"/>
          <w:szCs w:val="24"/>
          <w:lang w:val="en-US"/>
        </w:rPr>
        <w:t>)</w:t>
      </w:r>
    </w:p>
    <w:p>
      <w:pPr>
        <w:pStyle w:val="HTMLPreformatted"/>
        <w:numPr>
          <w:ilvl w:val="0"/>
          <w:numId w:val="1"/>
        </w:numPr>
        <w:spacing w:line="360" w:lineRule="auto"/>
        <w:jc w:val="both"/>
        <w:rPr>
          <w:rFonts w:ascii="Times New Roman" w:hAnsi="Times New Roman" w:cs="Times New Roman"/>
          <w:b/>
          <w:bCs/>
          <w:sz w:val="24"/>
          <w:szCs w:val="24"/>
        </w:rPr>
      </w:pPr>
      <w:r>
        <w:rPr>
          <w:rFonts w:ascii="Times New Roman" w:hAnsi="Times New Roman" w:cs="Times New Roman"/>
          <w:sz w:val="24"/>
          <w:szCs w:val="24"/>
        </w:rPr>
        <w:t>A. N. Jain,</w:t>
      </w:r>
      <w:r>
        <w:rPr>
          <w:rFonts w:ascii="Times New Roman" w:hAnsi="Times New Roman" w:cs="Times New Roman"/>
          <w:b/>
          <w:bCs/>
          <w:sz w:val="24"/>
          <w:szCs w:val="24"/>
        </w:rPr>
        <w:t xml:space="preserve"> </w:t>
      </w:r>
      <w:r>
        <w:rPr>
          <w:rFonts w:ascii="Times New Roman" w:hAnsi="Times New Roman" w:cs="Times New Roman"/>
          <w:i/>
          <w:sz w:val="24"/>
          <w:szCs w:val="24"/>
        </w:rPr>
        <w:t xml:space="preserve">J. </w:t>
      </w:r>
      <w:proofErr w:type="spellStart"/>
      <w:r>
        <w:rPr>
          <w:rFonts w:ascii="Times New Roman" w:hAnsi="Times New Roman" w:cs="Times New Roman"/>
          <w:i/>
          <w:sz w:val="24"/>
          <w:szCs w:val="24"/>
        </w:rPr>
        <w:t>Comput</w:t>
      </w:r>
      <w:proofErr w:type="spellEnd"/>
      <w:r>
        <w:rPr>
          <w:rFonts w:ascii="Times New Roman" w:hAnsi="Times New Roman" w:cs="Times New Roman"/>
          <w:i/>
          <w:sz w:val="24"/>
          <w:szCs w:val="24"/>
        </w:rPr>
        <w:t>. Aided Mol. Des.</w:t>
      </w:r>
      <w:r>
        <w:rPr>
          <w:rFonts w:ascii="Times New Roman" w:hAnsi="Times New Roman" w:cs="Times New Roman"/>
          <w:sz w:val="24"/>
          <w:szCs w:val="24"/>
        </w:rPr>
        <w:t xml:space="preserve"> </w:t>
      </w:r>
      <w:r>
        <w:rPr>
          <w:rFonts w:ascii="Times New Roman" w:hAnsi="Times New Roman" w:cs="Times New Roman"/>
          <w:b/>
          <w:sz w:val="24"/>
          <w:szCs w:val="24"/>
        </w:rPr>
        <w:t xml:space="preserve">22 </w:t>
      </w:r>
      <w:r>
        <w:rPr>
          <w:rFonts w:ascii="Times New Roman" w:hAnsi="Times New Roman" w:cs="Times New Roman"/>
          <w:sz w:val="24"/>
          <w:szCs w:val="24"/>
        </w:rPr>
        <w:t>(2008) 201 (</w:t>
      </w:r>
      <w:hyperlink r:id="rId58" w:tgtFrame="_blank" w:history="1">
        <w:r>
          <w:rPr>
            <w:rStyle w:val="Hyperlink"/>
            <w:rFonts w:ascii="Times New Roman" w:hAnsi="Times New Roman" w:cs="Times New Roman"/>
            <w:sz w:val="24"/>
            <w:szCs w:val="24"/>
          </w:rPr>
          <w:t>http://dx.doi.org/10.1007/s10822-007-9151-x</w:t>
        </w:r>
      </w:hyperlink>
      <w:r>
        <w:rPr>
          <w:rFonts w:ascii="Times New Roman" w:hAnsi="Times New Roman" w:cs="Times New Roman"/>
          <w:sz w:val="24"/>
          <w:szCs w:val="24"/>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w:t>
      </w:r>
      <w:proofErr w:type="spellStart"/>
      <w:r>
        <w:rPr>
          <w:rFonts w:ascii="Times New Roman" w:hAnsi="Times New Roman" w:cs="Times New Roman"/>
          <w:sz w:val="24"/>
          <w:szCs w:val="24"/>
        </w:rPr>
        <w:t>Kotsampasakou</w:t>
      </w:r>
      <w:proofErr w:type="spellEnd"/>
      <w:r>
        <w:rPr>
          <w:rFonts w:ascii="Times New Roman" w:hAnsi="Times New Roman" w:cs="Times New Roman"/>
          <w:sz w:val="24"/>
          <w:szCs w:val="24"/>
        </w:rPr>
        <w:t xml:space="preserve">, G. F. Ecker, </w:t>
      </w:r>
      <w:r>
        <w:rPr>
          <w:rFonts w:ascii="Times New Roman" w:hAnsi="Times New Roman" w:cs="Times New Roman"/>
          <w:i/>
          <w:sz w:val="24"/>
          <w:szCs w:val="24"/>
        </w:rPr>
        <w:t xml:space="preserve">J. Chem. Inform. Model. </w:t>
      </w:r>
      <w:r>
        <w:rPr>
          <w:rFonts w:ascii="Times New Roman" w:hAnsi="Times New Roman" w:cs="Times New Roman"/>
          <w:i/>
          <w:sz w:val="24"/>
          <w:szCs w:val="24"/>
          <w:lang w:val="en-US"/>
        </w:rPr>
        <w:t xml:space="preserve"> </w:t>
      </w:r>
      <w:r>
        <w:rPr>
          <w:rFonts w:ascii="Times New Roman" w:hAnsi="Times New Roman" w:cs="Times New Roman"/>
          <w:b/>
          <w:sz w:val="24"/>
          <w:szCs w:val="24"/>
        </w:rPr>
        <w:t xml:space="preserve">57 </w:t>
      </w:r>
      <w:r>
        <w:rPr>
          <w:rFonts w:ascii="Times New Roman" w:hAnsi="Times New Roman" w:cs="Times New Roman"/>
          <w:sz w:val="24"/>
          <w:szCs w:val="24"/>
        </w:rPr>
        <w:t>(2017) 608 (</w:t>
      </w:r>
      <w:hyperlink r:id="rId59" w:tgtFrame="_blank" w:history="1">
        <w:r>
          <w:rPr>
            <w:rStyle w:val="Hyperlink"/>
            <w:rFonts w:ascii="Times New Roman" w:hAnsi="Times New Roman" w:cs="Times New Roman"/>
            <w:sz w:val="24"/>
            <w:szCs w:val="24"/>
          </w:rPr>
          <w:t>http://dx.doi.org/10.1021/acs.jcim.6b00518</w:t>
        </w:r>
      </w:hyperlink>
      <w:r>
        <w:rPr>
          <w:rFonts w:ascii="Times New Roman" w:hAnsi="Times New Roman" w:cs="Times New Roman"/>
          <w:sz w:val="24"/>
          <w:szCs w:val="24"/>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 </w:t>
      </w:r>
      <w:proofErr w:type="spellStart"/>
      <w:r>
        <w:rPr>
          <w:rFonts w:ascii="Times New Roman" w:hAnsi="Times New Roman" w:cs="Times New Roman"/>
          <w:sz w:val="24"/>
          <w:szCs w:val="24"/>
        </w:rPr>
        <w:t>Badhani</w:t>
      </w:r>
      <w:proofErr w:type="spellEnd"/>
      <w:r>
        <w:rPr>
          <w:rFonts w:ascii="Times New Roman" w:hAnsi="Times New Roman" w:cs="Times New Roman"/>
          <w:sz w:val="24"/>
          <w:szCs w:val="24"/>
        </w:rPr>
        <w:t xml:space="preserve">, R. </w:t>
      </w:r>
      <w:proofErr w:type="spellStart"/>
      <w:r>
        <w:rPr>
          <w:rFonts w:ascii="Times New Roman" w:hAnsi="Times New Roman" w:cs="Times New Roman"/>
          <w:sz w:val="24"/>
          <w:szCs w:val="24"/>
        </w:rPr>
        <w:t>Kakkar</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J. </w:t>
      </w:r>
      <w:proofErr w:type="spellStart"/>
      <w:r>
        <w:rPr>
          <w:rFonts w:ascii="Times New Roman" w:hAnsi="Times New Roman" w:cs="Times New Roman"/>
          <w:i/>
          <w:sz w:val="24"/>
          <w:szCs w:val="24"/>
        </w:rPr>
        <w:t>Biomol</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Struct</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Dyn</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 xml:space="preserve">35 </w:t>
      </w:r>
      <w:r>
        <w:rPr>
          <w:rFonts w:ascii="Times New Roman" w:hAnsi="Times New Roman" w:cs="Times New Roman"/>
          <w:sz w:val="24"/>
          <w:szCs w:val="24"/>
        </w:rPr>
        <w:t>(2017)1950 (</w:t>
      </w:r>
      <w:hyperlink r:id="rId60" w:tgtFrame="_blank" w:history="1">
        <w:r>
          <w:rPr>
            <w:rStyle w:val="Hyperlink"/>
            <w:rFonts w:ascii="Times New Roman" w:hAnsi="Times New Roman" w:cs="Times New Roman"/>
            <w:sz w:val="24"/>
            <w:szCs w:val="24"/>
          </w:rPr>
          <w:t>http://dx.doi.org/10.1080/07391102.2016.1202863</w:t>
        </w:r>
      </w:hyperlink>
      <w:r>
        <w:rPr>
          <w:rFonts w:ascii="Times New Roman" w:hAnsi="Times New Roman" w:cs="Times New Roman"/>
          <w:sz w:val="24"/>
          <w:szCs w:val="24"/>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 </w:t>
      </w:r>
      <w:proofErr w:type="spellStart"/>
      <w:r>
        <w:rPr>
          <w:rFonts w:ascii="Times New Roman" w:hAnsi="Times New Roman" w:cs="Times New Roman"/>
          <w:sz w:val="24"/>
          <w:szCs w:val="24"/>
        </w:rPr>
        <w:t>Gohlke</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Hendlich</w:t>
      </w:r>
      <w:proofErr w:type="spellEnd"/>
      <w:r>
        <w:rPr>
          <w:rFonts w:ascii="Times New Roman" w:hAnsi="Times New Roman" w:cs="Times New Roman"/>
          <w:sz w:val="24"/>
          <w:szCs w:val="24"/>
        </w:rPr>
        <w:t>, G.</w:t>
      </w:r>
      <w:r>
        <w:rPr>
          <w:rFonts w:ascii="Times New Roman" w:hAnsi="Times New Roman" w:cs="Times New Roman"/>
          <w:b/>
          <w:bCs/>
          <w:kern w:val="36"/>
          <w:sz w:val="24"/>
          <w:szCs w:val="24"/>
        </w:rPr>
        <w:t xml:space="preserve"> </w:t>
      </w:r>
      <w:proofErr w:type="spellStart"/>
      <w:r>
        <w:rPr>
          <w:rFonts w:ascii="Times New Roman" w:hAnsi="Times New Roman" w:cs="Times New Roman"/>
          <w:sz w:val="24"/>
          <w:szCs w:val="24"/>
        </w:rPr>
        <w:t>Klebe</w:t>
      </w:r>
      <w:proofErr w:type="spellEnd"/>
      <w:r>
        <w:rPr>
          <w:rFonts w:ascii="Times New Roman" w:hAnsi="Times New Roman" w:cs="Times New Roman"/>
          <w:sz w:val="24"/>
          <w:szCs w:val="24"/>
        </w:rPr>
        <w:t xml:space="preserve">, </w:t>
      </w:r>
      <w:r>
        <w:rPr>
          <w:rFonts w:ascii="Times New Roman" w:hAnsi="Times New Roman" w:cs="Times New Roman"/>
          <w:i/>
          <w:sz w:val="24"/>
          <w:szCs w:val="24"/>
        </w:rPr>
        <w:t>J. Mol. Biol.</w:t>
      </w:r>
      <w:r>
        <w:rPr>
          <w:rFonts w:ascii="Times New Roman" w:hAnsi="Times New Roman" w:cs="Times New Roman"/>
          <w:sz w:val="24"/>
          <w:szCs w:val="24"/>
        </w:rPr>
        <w:t xml:space="preserve"> </w:t>
      </w:r>
      <w:r>
        <w:rPr>
          <w:rFonts w:ascii="Times New Roman" w:hAnsi="Times New Roman" w:cs="Times New Roman"/>
          <w:b/>
          <w:sz w:val="24"/>
          <w:szCs w:val="24"/>
        </w:rPr>
        <w:t>295</w:t>
      </w:r>
      <w:r>
        <w:rPr>
          <w:rFonts w:ascii="Times New Roman" w:hAnsi="Times New Roman" w:cs="Times New Roman"/>
          <w:sz w:val="24"/>
          <w:szCs w:val="24"/>
        </w:rPr>
        <w:t xml:space="preserve"> (2000) 337 (</w:t>
      </w:r>
      <w:hyperlink r:id="rId61" w:tgtFrame="_blank" w:history="1">
        <w:r>
          <w:rPr>
            <w:rStyle w:val="Hyperlink"/>
            <w:rFonts w:ascii="Times New Roman" w:hAnsi="Times New Roman" w:cs="Times New Roman"/>
            <w:sz w:val="24"/>
            <w:szCs w:val="24"/>
          </w:rPr>
          <w:t>http://dx.doi.org/10.1006/jmbi.1999.3371</w:t>
        </w:r>
      </w:hyperlink>
      <w:r>
        <w:rPr>
          <w:rFonts w:ascii="Times New Roman" w:hAnsi="Times New Roman" w:cs="Times New Roman"/>
          <w:b/>
          <w:bCs/>
          <w:sz w:val="24"/>
          <w:szCs w:val="24"/>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 Wang, H. Wu, T. </w:t>
      </w:r>
      <w:proofErr w:type="spellStart"/>
      <w:r>
        <w:rPr>
          <w:rFonts w:ascii="Times New Roman" w:hAnsi="Times New Roman" w:cs="Times New Roman"/>
          <w:sz w:val="24"/>
          <w:szCs w:val="24"/>
        </w:rPr>
        <w:t>Evron</w:t>
      </w:r>
      <w:proofErr w:type="spellEnd"/>
      <w:r>
        <w:rPr>
          <w:rFonts w:ascii="Times New Roman" w:hAnsi="Times New Roman" w:cs="Times New Roman"/>
          <w:sz w:val="24"/>
          <w:szCs w:val="24"/>
        </w:rPr>
        <w:t xml:space="preserve">, E. Vardy, G. W. Han, X. P. Huang, S. J. </w:t>
      </w:r>
      <w:proofErr w:type="spellStart"/>
      <w:r>
        <w:rPr>
          <w:rFonts w:ascii="Times New Roman" w:hAnsi="Times New Roman" w:cs="Times New Roman"/>
          <w:sz w:val="24"/>
          <w:szCs w:val="24"/>
        </w:rPr>
        <w:t>Hufeisen</w:t>
      </w:r>
      <w:proofErr w:type="spellEnd"/>
      <w:r>
        <w:rPr>
          <w:rFonts w:ascii="Times New Roman" w:hAnsi="Times New Roman" w:cs="Times New Roman"/>
          <w:sz w:val="24"/>
          <w:szCs w:val="24"/>
        </w:rPr>
        <w:t xml:space="preserve">, T. J. </w:t>
      </w:r>
      <w:proofErr w:type="spellStart"/>
      <w:r>
        <w:rPr>
          <w:rFonts w:ascii="Times New Roman" w:hAnsi="Times New Roman" w:cs="Times New Roman"/>
          <w:sz w:val="24"/>
          <w:szCs w:val="24"/>
        </w:rPr>
        <w:t>Mangano</w:t>
      </w:r>
      <w:proofErr w:type="spellEnd"/>
      <w:r>
        <w:rPr>
          <w:rFonts w:ascii="Times New Roman" w:hAnsi="Times New Roman" w:cs="Times New Roman"/>
          <w:sz w:val="24"/>
          <w:szCs w:val="24"/>
        </w:rPr>
        <w:t xml:space="preserve">, D. J. Urban, V. </w:t>
      </w:r>
      <w:proofErr w:type="spellStart"/>
      <w:r>
        <w:rPr>
          <w:rFonts w:ascii="Times New Roman" w:hAnsi="Times New Roman" w:cs="Times New Roman"/>
          <w:sz w:val="24"/>
          <w:szCs w:val="24"/>
        </w:rPr>
        <w:t>Katritch</w:t>
      </w:r>
      <w:proofErr w:type="spellEnd"/>
      <w:r>
        <w:rPr>
          <w:rFonts w:ascii="Times New Roman" w:hAnsi="Times New Roman" w:cs="Times New Roman"/>
          <w:sz w:val="24"/>
          <w:szCs w:val="24"/>
        </w:rPr>
        <w:t xml:space="preserve">, V. </w:t>
      </w:r>
      <w:proofErr w:type="spellStart"/>
      <w:r>
        <w:rPr>
          <w:rFonts w:ascii="Times New Roman" w:hAnsi="Times New Roman" w:cs="Times New Roman"/>
          <w:sz w:val="24"/>
          <w:szCs w:val="24"/>
        </w:rPr>
        <w:t>Cherezov</w:t>
      </w:r>
      <w:proofErr w:type="spellEnd"/>
      <w:r>
        <w:rPr>
          <w:rFonts w:ascii="Times New Roman" w:hAnsi="Times New Roman" w:cs="Times New Roman"/>
          <w:sz w:val="24"/>
          <w:szCs w:val="24"/>
        </w:rPr>
        <w:t xml:space="preserve">, M. G. Caron, B. L. Roth, R. C. Stevens, </w:t>
      </w:r>
      <w:r>
        <w:rPr>
          <w:rFonts w:ascii="Times New Roman" w:hAnsi="Times New Roman" w:cs="Times New Roman"/>
          <w:i/>
          <w:sz w:val="24"/>
          <w:szCs w:val="24"/>
        </w:rPr>
        <w:t xml:space="preserve">Nat. </w:t>
      </w:r>
      <w:proofErr w:type="spellStart"/>
      <w:r>
        <w:rPr>
          <w:rFonts w:ascii="Times New Roman" w:hAnsi="Times New Roman" w:cs="Times New Roman"/>
          <w:i/>
          <w:sz w:val="24"/>
          <w:szCs w:val="24"/>
        </w:rPr>
        <w:t>Commun</w:t>
      </w:r>
      <w:proofErr w:type="spellEnd"/>
      <w:r>
        <w:rPr>
          <w:rFonts w:ascii="Times New Roman" w:hAnsi="Times New Roman" w:cs="Times New Roman"/>
          <w:i/>
          <w:sz w:val="24"/>
          <w:szCs w:val="24"/>
        </w:rPr>
        <w:t>.</w:t>
      </w:r>
      <w:r>
        <w:rPr>
          <w:rFonts w:ascii="Times New Roman" w:hAnsi="Times New Roman" w:cs="Times New Roman"/>
          <w:sz w:val="24"/>
          <w:szCs w:val="24"/>
        </w:rPr>
        <w:t xml:space="preserve"> </w:t>
      </w:r>
      <w:r>
        <w:rPr>
          <w:rFonts w:ascii="Times New Roman" w:hAnsi="Times New Roman" w:cs="Times New Roman"/>
          <w:b/>
          <w:sz w:val="24"/>
          <w:szCs w:val="24"/>
        </w:rPr>
        <w:t>10</w:t>
      </w:r>
      <w:r>
        <w:rPr>
          <w:rFonts w:ascii="Times New Roman" w:hAnsi="Times New Roman" w:cs="Times New Roman"/>
          <w:sz w:val="24"/>
          <w:szCs w:val="24"/>
        </w:rPr>
        <w:t xml:space="preserve"> (2014) 4355 (</w:t>
      </w:r>
      <w:hyperlink r:id="rId62" w:tgtFrame="_blank" w:history="1">
        <w:r>
          <w:rPr>
            <w:rStyle w:val="Hyperlink"/>
            <w:rFonts w:ascii="Times New Roman" w:hAnsi="Times New Roman" w:cs="Times New Roman"/>
            <w:sz w:val="24"/>
            <w:szCs w:val="24"/>
          </w:rPr>
          <w:t>http://dx.doi.org/10.1038/ncomms5355</w:t>
        </w:r>
      </w:hyperlink>
      <w:r>
        <w:rPr>
          <w:rFonts w:ascii="Times New Roman" w:hAnsi="Times New Roman" w:cs="Times New Roman"/>
          <w:sz w:val="24"/>
          <w:szCs w:val="24"/>
        </w:rPr>
        <w:t xml:space="preserve">) </w:t>
      </w:r>
    </w:p>
    <w:p>
      <w:pPr>
        <w:pStyle w:val="HTMLPreformatted"/>
        <w:numPr>
          <w:ilvl w:val="0"/>
          <w:numId w:val="1"/>
        </w:numPr>
        <w:tabs>
          <w:tab w:val="clear" w:pos="916"/>
          <w:tab w:val="left" w:pos="993"/>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 Wang, H. Wu, V. </w:t>
      </w:r>
      <w:proofErr w:type="spellStart"/>
      <w:r>
        <w:rPr>
          <w:rFonts w:ascii="Times New Roman" w:hAnsi="Times New Roman" w:cs="Times New Roman"/>
          <w:sz w:val="24"/>
          <w:szCs w:val="24"/>
        </w:rPr>
        <w:t>Katritch</w:t>
      </w:r>
      <w:proofErr w:type="spellEnd"/>
      <w:r>
        <w:rPr>
          <w:rFonts w:ascii="Times New Roman" w:hAnsi="Times New Roman" w:cs="Times New Roman"/>
          <w:sz w:val="24"/>
          <w:szCs w:val="24"/>
        </w:rPr>
        <w:t xml:space="preserve">, G. W. Han, X. P. Huang, W. Liu, F. Y. Siu, B. L. Roth, V. </w:t>
      </w:r>
      <w:proofErr w:type="spellStart"/>
      <w:r>
        <w:rPr>
          <w:rFonts w:ascii="Times New Roman" w:hAnsi="Times New Roman" w:cs="Times New Roman"/>
          <w:sz w:val="24"/>
          <w:szCs w:val="24"/>
        </w:rPr>
        <w:t>Cherezov</w:t>
      </w:r>
      <w:proofErr w:type="spellEnd"/>
      <w:r>
        <w:rPr>
          <w:rFonts w:ascii="Times New Roman" w:hAnsi="Times New Roman" w:cs="Times New Roman"/>
          <w:sz w:val="24"/>
          <w:szCs w:val="24"/>
        </w:rPr>
        <w:t xml:space="preserve">,  R. C. Stevens, </w:t>
      </w:r>
      <w:r>
        <w:rPr>
          <w:rFonts w:ascii="Times New Roman" w:hAnsi="Times New Roman" w:cs="Times New Roman"/>
          <w:i/>
          <w:sz w:val="24"/>
          <w:szCs w:val="24"/>
        </w:rPr>
        <w:t xml:space="preserve">Nature </w:t>
      </w:r>
      <w:r>
        <w:rPr>
          <w:rFonts w:ascii="Times New Roman" w:hAnsi="Times New Roman" w:cs="Times New Roman"/>
          <w:b/>
          <w:sz w:val="24"/>
          <w:szCs w:val="24"/>
        </w:rPr>
        <w:t xml:space="preserve">497 </w:t>
      </w:r>
      <w:r>
        <w:rPr>
          <w:rFonts w:ascii="Times New Roman" w:hAnsi="Times New Roman" w:cs="Times New Roman"/>
          <w:sz w:val="24"/>
          <w:szCs w:val="24"/>
        </w:rPr>
        <w:t xml:space="preserve">(2013) 338 </w:t>
      </w:r>
      <w:hyperlink r:id="rId63" w:tgtFrame="_blank" w:history="1">
        <w:r>
          <w:rPr>
            <w:rStyle w:val="Hyperlink"/>
            <w:rFonts w:ascii="Times New Roman" w:hAnsi="Times New Roman" w:cs="Times New Roman"/>
            <w:sz w:val="24"/>
            <w:szCs w:val="24"/>
          </w:rPr>
          <w:t>http://dx.doi.org/10.1038/nature12167</w:t>
        </w:r>
      </w:hyperlink>
      <w:r>
        <w:rPr>
          <w:rFonts w:ascii="Times New Roman" w:hAnsi="Times New Roman" w:cs="Times New Roman"/>
          <w:sz w:val="24"/>
          <w:szCs w:val="24"/>
        </w:rPr>
        <w:t>)</w:t>
      </w:r>
    </w:p>
    <w:p>
      <w:pPr>
        <w:pStyle w:val="HTMLPreformatted"/>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 F. X. Byrne, R. </w:t>
      </w:r>
      <w:proofErr w:type="spellStart"/>
      <w:r>
        <w:rPr>
          <w:rFonts w:ascii="Times New Roman" w:hAnsi="Times New Roman" w:cs="Times New Roman"/>
          <w:sz w:val="24"/>
          <w:szCs w:val="24"/>
        </w:rPr>
        <w:t>Sircar</w:t>
      </w:r>
      <w:proofErr w:type="spellEnd"/>
      <w:r>
        <w:rPr>
          <w:rFonts w:ascii="Times New Roman" w:hAnsi="Times New Roman" w:cs="Times New Roman"/>
          <w:sz w:val="24"/>
          <w:szCs w:val="24"/>
        </w:rPr>
        <w:t xml:space="preserve">, P. S. Miller, G. Hedger, G. </w:t>
      </w:r>
      <w:proofErr w:type="spellStart"/>
      <w:r>
        <w:rPr>
          <w:rFonts w:ascii="Times New Roman" w:hAnsi="Times New Roman" w:cs="Times New Roman"/>
          <w:sz w:val="24"/>
          <w:szCs w:val="24"/>
        </w:rPr>
        <w:t>Luchetti</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Nachtergaele</w:t>
      </w:r>
      <w:proofErr w:type="spellEnd"/>
      <w:r>
        <w:rPr>
          <w:rFonts w:ascii="Times New Roman" w:hAnsi="Times New Roman" w:cs="Times New Roman"/>
          <w:sz w:val="24"/>
          <w:szCs w:val="24"/>
        </w:rPr>
        <w:t xml:space="preserve">, M. D. Tully, L. </w:t>
      </w:r>
      <w:proofErr w:type="spellStart"/>
      <w:r>
        <w:rPr>
          <w:rFonts w:ascii="Times New Roman" w:hAnsi="Times New Roman" w:cs="Times New Roman"/>
          <w:sz w:val="24"/>
          <w:szCs w:val="24"/>
        </w:rPr>
        <w:t>Mydock-McGrane</w:t>
      </w:r>
      <w:proofErr w:type="spellEnd"/>
      <w:r>
        <w:rPr>
          <w:rFonts w:ascii="Times New Roman" w:hAnsi="Times New Roman" w:cs="Times New Roman"/>
          <w:sz w:val="24"/>
          <w:szCs w:val="24"/>
        </w:rPr>
        <w:t xml:space="preserve">, D. F. Covey, R. P. Rambo, M. S. P. </w:t>
      </w:r>
      <w:proofErr w:type="spellStart"/>
      <w:r>
        <w:rPr>
          <w:rFonts w:ascii="Times New Roman" w:hAnsi="Times New Roman" w:cs="Times New Roman"/>
          <w:sz w:val="24"/>
          <w:szCs w:val="24"/>
        </w:rPr>
        <w:t>Sansom</w:t>
      </w:r>
      <w:proofErr w:type="spellEnd"/>
      <w:r>
        <w:rPr>
          <w:rFonts w:ascii="Times New Roman" w:hAnsi="Times New Roman" w:cs="Times New Roman"/>
          <w:sz w:val="24"/>
          <w:szCs w:val="24"/>
        </w:rPr>
        <w:t xml:space="preserve">, S. Newstead, R. </w:t>
      </w:r>
      <w:proofErr w:type="spellStart"/>
      <w:r>
        <w:rPr>
          <w:rFonts w:ascii="Times New Roman" w:hAnsi="Times New Roman" w:cs="Times New Roman"/>
          <w:sz w:val="24"/>
          <w:szCs w:val="24"/>
        </w:rPr>
        <w:t>Rohatgi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Siebold</w:t>
      </w:r>
      <w:proofErr w:type="spellEnd"/>
      <w:r>
        <w:rPr>
          <w:rFonts w:ascii="Times New Roman" w:hAnsi="Times New Roman" w:cs="Times New Roman"/>
          <w:sz w:val="24"/>
          <w:szCs w:val="24"/>
        </w:rPr>
        <w:t xml:space="preserve">, </w:t>
      </w:r>
      <w:r>
        <w:rPr>
          <w:rFonts w:ascii="Times New Roman" w:hAnsi="Times New Roman" w:cs="Times New Roman"/>
          <w:bCs/>
          <w:i/>
          <w:sz w:val="24"/>
          <w:szCs w:val="24"/>
        </w:rPr>
        <w:t>Nature</w:t>
      </w:r>
      <w:r>
        <w:rPr>
          <w:rFonts w:ascii="Times New Roman" w:hAnsi="Times New Roman" w:cs="Times New Roman"/>
          <w:sz w:val="24"/>
          <w:szCs w:val="24"/>
        </w:rPr>
        <w:t xml:space="preserve"> </w:t>
      </w:r>
      <w:r>
        <w:rPr>
          <w:rFonts w:ascii="Times New Roman" w:hAnsi="Times New Roman" w:cs="Times New Roman"/>
          <w:b/>
          <w:bCs/>
          <w:sz w:val="24"/>
          <w:szCs w:val="24"/>
        </w:rPr>
        <w:t xml:space="preserve">535 </w:t>
      </w:r>
      <w:r>
        <w:rPr>
          <w:rFonts w:ascii="Times New Roman" w:hAnsi="Times New Roman" w:cs="Times New Roman"/>
          <w:bCs/>
          <w:sz w:val="24"/>
          <w:szCs w:val="24"/>
        </w:rPr>
        <w:t>(2016) 517 (</w:t>
      </w:r>
      <w:hyperlink r:id="rId64" w:tgtFrame="_blank" w:history="1">
        <w:r>
          <w:rPr>
            <w:rStyle w:val="Hyperlink"/>
            <w:rFonts w:ascii="Times New Roman" w:hAnsi="Times New Roman" w:cs="Times New Roman"/>
            <w:sz w:val="24"/>
            <w:szCs w:val="24"/>
          </w:rPr>
          <w:t>http://dx.doi.org/10.1038/nature18934</w:t>
        </w:r>
      </w:hyperlink>
      <w:r>
        <w:rPr>
          <w:rFonts w:ascii="Times New Roman" w:hAnsi="Times New Roman" w:cs="Times New Roman"/>
          <w:sz w:val="24"/>
          <w:szCs w:val="24"/>
        </w:rPr>
        <w:t>)</w:t>
      </w:r>
    </w:p>
    <w:p>
      <w:pPr>
        <w:pStyle w:val="MTDisplayEquation"/>
      </w:pPr>
    </w:p>
    <w:sectPr>
      <w:headerReference w:type="default" r:id="rId65"/>
      <w:footerReference w:type="default" r:id="rId66"/>
      <w:type w:val="continuous"/>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imesNewRoman">
    <w:altName w:val="MS Gothic"/>
    <w:panose1 w:val="00000000000000000000"/>
    <w:charset w:val="00"/>
    <w:family w:val="roman"/>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p>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Footer"/>
      <w:jc w:val="right"/>
    </w:pPr>
  </w:p>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rStyle w:val="FootnoteReference"/>
        </w:rPr>
        <w:t>*</w:t>
      </w:r>
      <w:r>
        <w:t xml:space="preserve"> </w:t>
      </w:r>
      <w:r>
        <w:rPr>
          <w:rFonts w:ascii="Times New Roman" w:hAnsi="Times New Roman"/>
          <w:sz w:val="24"/>
          <w:szCs w:val="24"/>
        </w:rPr>
        <w:t>ana_borota@acad-icht.tm.edu.ro</w:t>
      </w:r>
    </w:p>
  </w:footnote>
  <w:footnote w:id="2">
    <w:p>
      <w:pPr>
        <w:pStyle w:val="FootnoteText"/>
      </w:pPr>
      <w:r>
        <w:rPr>
          <w:rStyle w:val="FootnoteReference"/>
        </w:rPr>
        <w:footnoteRef/>
      </w:r>
      <w:r>
        <w:t xml:space="preserve"> </w:t>
      </w:r>
      <w:r>
        <w:rPr>
          <w:rFonts w:ascii="Times New Roman" w:hAnsi="Times New Roman"/>
          <w:sz w:val="24"/>
          <w:szCs w:val="24"/>
        </w:rPr>
        <w:t xml:space="preserve">lumi_crisan@acad-icht.tm.edu.ro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p>
  <w:p>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pPr>
      <w:pStyle w:val="Header"/>
      <w:jc w:val="right"/>
    </w:pPr>
  </w:p>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0709B1"/>
    <w:multiLevelType w:val="hybridMultilevel"/>
    <w:tmpl w:val="703C29CA"/>
    <w:lvl w:ilvl="0" w:tplc="A246E41E">
      <w:start w:val="1"/>
      <w:numFmt w:val="decimal"/>
      <w:lvlText w:val="%1."/>
      <w:lvlJc w:val="left"/>
      <w:pPr>
        <w:ind w:left="717" w:hanging="360"/>
      </w:pPr>
      <w:rPr>
        <w:rFonts w:hint="default"/>
        <w:b w:val="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abstractNum w:abstractNumId="1" w15:restartNumberingAfterBreak="0">
    <w:nsid w:val="75174C7A"/>
    <w:multiLevelType w:val="hybridMultilevel"/>
    <w:tmpl w:val="9B5CAA44"/>
    <w:lvl w:ilvl="0" w:tplc="A246E41E">
      <w:start w:val="1"/>
      <w:numFmt w:val="decimal"/>
      <w:lvlText w:val="%1."/>
      <w:lvlJc w:val="left"/>
      <w:pPr>
        <w:ind w:left="717" w:hanging="360"/>
      </w:pPr>
      <w:rPr>
        <w:rFonts w:hint="default"/>
        <w:b w:val="0"/>
      </w:rPr>
    </w:lvl>
    <w:lvl w:ilvl="1" w:tplc="08090019" w:tentative="1">
      <w:start w:val="1"/>
      <w:numFmt w:val="lowerLetter"/>
      <w:lvlText w:val="%2."/>
      <w:lvlJc w:val="left"/>
      <w:pPr>
        <w:ind w:left="1437" w:hanging="360"/>
      </w:pPr>
    </w:lvl>
    <w:lvl w:ilvl="2" w:tplc="0809001B" w:tentative="1">
      <w:start w:val="1"/>
      <w:numFmt w:val="lowerRoman"/>
      <w:lvlText w:val="%3."/>
      <w:lvlJc w:val="right"/>
      <w:pPr>
        <w:ind w:left="2157" w:hanging="180"/>
      </w:pPr>
    </w:lvl>
    <w:lvl w:ilvl="3" w:tplc="0809000F" w:tentative="1">
      <w:start w:val="1"/>
      <w:numFmt w:val="decimal"/>
      <w:lvlText w:val="%4."/>
      <w:lvlJc w:val="left"/>
      <w:pPr>
        <w:ind w:left="2877" w:hanging="360"/>
      </w:pPr>
    </w:lvl>
    <w:lvl w:ilvl="4" w:tplc="08090019" w:tentative="1">
      <w:start w:val="1"/>
      <w:numFmt w:val="lowerLetter"/>
      <w:lvlText w:val="%5."/>
      <w:lvlJc w:val="left"/>
      <w:pPr>
        <w:ind w:left="3597" w:hanging="360"/>
      </w:pPr>
    </w:lvl>
    <w:lvl w:ilvl="5" w:tplc="0809001B" w:tentative="1">
      <w:start w:val="1"/>
      <w:numFmt w:val="lowerRoman"/>
      <w:lvlText w:val="%6."/>
      <w:lvlJc w:val="right"/>
      <w:pPr>
        <w:ind w:left="4317" w:hanging="180"/>
      </w:pPr>
    </w:lvl>
    <w:lvl w:ilvl="6" w:tplc="0809000F" w:tentative="1">
      <w:start w:val="1"/>
      <w:numFmt w:val="decimal"/>
      <w:lvlText w:val="%7."/>
      <w:lvlJc w:val="left"/>
      <w:pPr>
        <w:ind w:left="5037" w:hanging="360"/>
      </w:pPr>
    </w:lvl>
    <w:lvl w:ilvl="7" w:tplc="08090019" w:tentative="1">
      <w:start w:val="1"/>
      <w:numFmt w:val="lowerLetter"/>
      <w:lvlText w:val="%8."/>
      <w:lvlJc w:val="left"/>
      <w:pPr>
        <w:ind w:left="5757" w:hanging="360"/>
      </w:pPr>
    </w:lvl>
    <w:lvl w:ilvl="8" w:tplc="0809001B" w:tentative="1">
      <w:start w:val="1"/>
      <w:numFmt w:val="lowerRoman"/>
      <w:lvlText w:val="%9."/>
      <w:lvlJc w:val="right"/>
      <w:pPr>
        <w:ind w:left="6477" w:hanging="180"/>
      </w:pPr>
    </w:lvl>
  </w:abstractNum>
  <w:num w:numId="1">
    <w:abstractNumId w:val="1"/>
  </w:num>
  <w:num w:numId="2">
    <w:abstractNumId w:val="1"/>
    <w:lvlOverride w:ilvl="0">
      <w:lvl w:ilvl="0" w:tplc="A246E41E">
        <w:start w:val="1"/>
        <w:numFmt w:val="decimal"/>
        <w:lvlText w:val="%1."/>
        <w:lvlJc w:val="left"/>
        <w:pPr>
          <w:ind w:left="717" w:hanging="360"/>
        </w:pPr>
        <w:rPr>
          <w:rFonts w:hint="default"/>
        </w:rPr>
      </w:lvl>
    </w:lvlOverride>
    <w:lvlOverride w:ilvl="1">
      <w:lvl w:ilvl="1" w:tplc="08090019" w:tentative="1">
        <w:start w:val="1"/>
        <w:numFmt w:val="lowerLetter"/>
        <w:lvlText w:val="%2."/>
        <w:lvlJc w:val="left"/>
        <w:pPr>
          <w:ind w:left="1440" w:hanging="360"/>
        </w:pPr>
      </w:lvl>
    </w:lvlOverride>
    <w:lvlOverride w:ilvl="2">
      <w:lvl w:ilvl="2" w:tplc="0809001B" w:tentative="1">
        <w:start w:val="1"/>
        <w:numFmt w:val="lowerRoman"/>
        <w:lvlText w:val="%3."/>
        <w:lvlJc w:val="right"/>
        <w:pPr>
          <w:ind w:left="2160" w:hanging="180"/>
        </w:pPr>
      </w:lvl>
    </w:lvlOverride>
    <w:lvlOverride w:ilvl="3">
      <w:lvl w:ilvl="3" w:tplc="0809000F" w:tentative="1">
        <w:start w:val="1"/>
        <w:numFmt w:val="decimal"/>
        <w:lvlText w:val="%4."/>
        <w:lvlJc w:val="left"/>
        <w:pPr>
          <w:ind w:left="2880" w:hanging="360"/>
        </w:pPr>
      </w:lvl>
    </w:lvlOverride>
    <w:lvlOverride w:ilvl="4">
      <w:lvl w:ilvl="4" w:tplc="08090019" w:tentative="1">
        <w:start w:val="1"/>
        <w:numFmt w:val="lowerLetter"/>
        <w:lvlText w:val="%5."/>
        <w:lvlJc w:val="left"/>
        <w:pPr>
          <w:ind w:left="3600" w:hanging="360"/>
        </w:pPr>
      </w:lvl>
    </w:lvlOverride>
    <w:lvlOverride w:ilvl="5">
      <w:lvl w:ilvl="5" w:tplc="0809001B" w:tentative="1">
        <w:start w:val="1"/>
        <w:numFmt w:val="lowerRoman"/>
        <w:lvlText w:val="%6."/>
        <w:lvlJc w:val="right"/>
        <w:pPr>
          <w:ind w:left="4320" w:hanging="180"/>
        </w:pPr>
      </w:lvl>
    </w:lvlOverride>
    <w:lvlOverride w:ilvl="6">
      <w:lvl w:ilvl="6" w:tplc="0809000F" w:tentative="1">
        <w:start w:val="1"/>
        <w:numFmt w:val="decimal"/>
        <w:lvlText w:val="%7."/>
        <w:lvlJc w:val="left"/>
        <w:pPr>
          <w:ind w:left="5040" w:hanging="360"/>
        </w:pPr>
      </w:lvl>
    </w:lvlOverride>
    <w:lvlOverride w:ilvl="7">
      <w:lvl w:ilvl="7" w:tplc="08090019" w:tentative="1">
        <w:start w:val="1"/>
        <w:numFmt w:val="lowerLetter"/>
        <w:lvlText w:val="%8."/>
        <w:lvlJc w:val="left"/>
        <w:pPr>
          <w:ind w:left="5760" w:hanging="360"/>
        </w:pPr>
      </w:lvl>
    </w:lvlOverride>
    <w:lvlOverride w:ilvl="8">
      <w:lvl w:ilvl="8" w:tplc="0809001B" w:tentative="1">
        <w:start w:val="1"/>
        <w:numFmt w:val="lowerRoman"/>
        <w:lvlText w:val="%9."/>
        <w:lvlJc w:val="right"/>
        <w:pPr>
          <w:ind w:left="6480" w:hanging="180"/>
        </w:pPr>
      </w:lvl>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20"/>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sDQ1NLawMDYzMTC0sDBS0lEKTi0uzszPAykwNq4FAFRMDFctAAAA"/>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9BDEE03-2F03-48E6-AD09-72BAE191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pPr>
      <w:spacing w:before="120" w:after="0" w:line="480" w:lineRule="exact"/>
    </w:pPr>
    <w:rPr>
      <w:rFonts w:ascii="Arial" w:eastAsia="MS Mincho" w:hAnsi="Arial" w:cs="Times New Roman"/>
      <w:b/>
      <w:sz w:val="32"/>
      <w:szCs w:val="28"/>
      <w:lang w:val="de-DE" w:eastAsia="ja-JP"/>
    </w:rPr>
  </w:style>
  <w:style w:type="paragraph" w:customStyle="1" w:styleId="Authors">
    <w:name w:val="Authors"/>
    <w:basedOn w:val="Normal"/>
    <w:qFormat/>
    <w:pPr>
      <w:spacing w:before="120" w:after="120" w:line="320" w:lineRule="exact"/>
    </w:pPr>
    <w:rPr>
      <w:rFonts w:ascii="Arial" w:eastAsia="MS Mincho" w:hAnsi="Arial" w:cs="Times New Roman"/>
      <w:szCs w:val="24"/>
      <w:lang w:eastAsia="ja-JP"/>
    </w:rPr>
  </w:style>
  <w:style w:type="paragraph" w:customStyle="1" w:styleId="Adress">
    <w:name w:val="Adress"/>
    <w:basedOn w:val="Normal"/>
    <w:qFormat/>
    <w:pPr>
      <w:spacing w:after="0" w:line="180" w:lineRule="exact"/>
      <w:ind w:left="425" w:hanging="425"/>
    </w:pPr>
    <w:rPr>
      <w:rFonts w:ascii="Arial" w:eastAsia="MS Mincho" w:hAnsi="Arial" w:cs="Times New Roman"/>
      <w:sz w:val="14"/>
      <w:szCs w:val="20"/>
      <w:lang w:val="de-DE" w:eastAsia="ja-JP"/>
    </w:rPr>
  </w:style>
  <w:style w:type="paragraph" w:customStyle="1" w:styleId="Abstract">
    <w:name w:val="Abstract"/>
    <w:basedOn w:val="Normal"/>
    <w:qFormat/>
    <w:pPr>
      <w:spacing w:after="600" w:line="225" w:lineRule="exact"/>
      <w:jc w:val="both"/>
    </w:pPr>
    <w:rPr>
      <w:rFonts w:ascii="Arial" w:eastAsia="MS Mincho" w:hAnsi="Arial" w:cs="Times New Roman"/>
      <w:sz w:val="16"/>
      <w:szCs w:val="20"/>
      <w:lang w:eastAsia="ja-JP"/>
    </w:rPr>
  </w:style>
  <w:style w:type="paragraph" w:customStyle="1" w:styleId="P1">
    <w:name w:val="P1"/>
    <w:basedOn w:val="Normal"/>
    <w:qFormat/>
    <w:pPr>
      <w:spacing w:after="0" w:line="225" w:lineRule="exact"/>
      <w:jc w:val="both"/>
    </w:pPr>
    <w:rPr>
      <w:rFonts w:ascii="Arial" w:eastAsia="MS Mincho" w:hAnsi="Arial" w:cs="Times New Roman"/>
      <w:sz w:val="17"/>
      <w:szCs w:val="24"/>
      <w:lang w:val="en-US" w:eastAsia="ja-JP"/>
    </w:rPr>
  </w:style>
  <w:style w:type="table" w:styleId="TableGrid">
    <w:name w:val="Table Grid"/>
    <w:basedOn w:val="TableNormal"/>
    <w:uiPriority w:val="59"/>
    <w:pPr>
      <w:spacing w:after="0" w:line="240" w:lineRule="auto"/>
    </w:pPr>
    <w:rPr>
      <w:rFonts w:ascii="Calibri" w:eastAsia="Calibri"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Caption"/>
    <w:basedOn w:val="Normal"/>
    <w:pPr>
      <w:spacing w:before="230" w:after="460" w:line="180" w:lineRule="exact"/>
      <w:jc w:val="both"/>
    </w:pPr>
    <w:rPr>
      <w:rFonts w:ascii="Arial" w:eastAsia="MS Mincho" w:hAnsi="Arial" w:cs="Times New Roman"/>
      <w:sz w:val="14"/>
      <w:szCs w:val="14"/>
      <w:lang w:eastAsia="ja-JP"/>
    </w:rPr>
  </w:style>
  <w:style w:type="character" w:styleId="PlaceholderText">
    <w:name w:val="Placeholder Text"/>
    <w:basedOn w:val="DefaultParagraphFont"/>
    <w:uiPriority w:val="99"/>
    <w:semiHidden/>
    <w:rPr>
      <w:color w:val="808080"/>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Pr>
      <w:i/>
      <w:iCs/>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563C1" w:themeColor="hyperlink"/>
      <w:u w:val="singl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E74B5" w:themeColor="accent1" w:themeShade="BF"/>
      <w:sz w:val="32"/>
      <w:szCs w:val="32"/>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EndnoteText">
    <w:name w:val="endnote text"/>
    <w:basedOn w:val="Normal"/>
    <w:link w:val="EndnoteTextChar"/>
    <w:uiPriority w:val="99"/>
    <w:semiHidden/>
    <w:unhideWhenUsed/>
    <w:pPr>
      <w:spacing w:after="0" w:line="240" w:lineRule="auto"/>
    </w:pPr>
    <w:rPr>
      <w:sz w:val="20"/>
      <w:szCs w:val="20"/>
    </w:rPr>
  </w:style>
  <w:style w:type="character" w:customStyle="1" w:styleId="EndnoteTextChar">
    <w:name w:val="Endnote Text Char"/>
    <w:basedOn w:val="DefaultParagraphFont"/>
    <w:link w:val="EndnoteText"/>
    <w:uiPriority w:val="99"/>
    <w:semiHidden/>
    <w:rPr>
      <w:sz w:val="20"/>
      <w:szCs w:val="20"/>
    </w:rPr>
  </w:style>
  <w:style w:type="character" w:styleId="EndnoteReference">
    <w:name w:val="end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FootnoteTextChar">
    <w:name w:val="Footnote Text Char"/>
    <w:basedOn w:val="DefaultParagraphFont"/>
    <w:link w:val="FootnoteText"/>
    <w:uiPriority w:val="99"/>
    <w:semiHidden/>
    <w:rPr>
      <w:sz w:val="20"/>
      <w:szCs w:val="20"/>
    </w:rPr>
  </w:style>
  <w:style w:type="character" w:styleId="FootnoteReference">
    <w:name w:val="foot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954F72" w:themeColor="followedHyperlink"/>
      <w:u w:val="single"/>
    </w:rPr>
  </w:style>
  <w:style w:type="paragraph" w:customStyle="1" w:styleId="MTDisplayEquation">
    <w:name w:val="MTDisplayEquation"/>
    <w:basedOn w:val="Normal"/>
    <w:next w:val="Normal"/>
    <w:link w:val="MTDisplayEquationChar"/>
    <w:pPr>
      <w:tabs>
        <w:tab w:val="center" w:pos="4520"/>
        <w:tab w:val="right" w:pos="9020"/>
      </w:tabs>
      <w:spacing w:after="0" w:line="360" w:lineRule="auto"/>
      <w:ind w:firstLine="720"/>
      <w:jc w:val="both"/>
    </w:pPr>
    <w:rPr>
      <w:rFonts w:ascii="Times New Roman" w:eastAsia="MS Mincho" w:hAnsi="Times New Roman" w:cs="Times New Roman"/>
      <w:sz w:val="24"/>
      <w:szCs w:val="24"/>
      <w:lang w:val="en-US" w:eastAsia="ja-JP"/>
    </w:rPr>
  </w:style>
  <w:style w:type="character" w:customStyle="1" w:styleId="MTDisplayEquationChar">
    <w:name w:val="MTDisplayEquation Char"/>
    <w:basedOn w:val="DefaultParagraphFont"/>
    <w:link w:val="MTDisplayEquation"/>
    <w:rPr>
      <w:rFonts w:ascii="Times New Roman" w:eastAsia="MS Mincho" w:hAnsi="Times New Roman" w:cs="Times New Roman"/>
      <w:sz w:val="24"/>
      <w:szCs w:val="24"/>
      <w:lang w:val="en-US" w:eastAsia="ja-JP"/>
    </w:rPr>
  </w:style>
  <w:style w:type="paragraph" w:styleId="HTMLPreformatted">
    <w:name w:val="HTML Preformatted"/>
    <w:basedOn w:val="Normal"/>
    <w:link w:val="HTMLPreformattedChar"/>
    <w:uiPriority w:val="99"/>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Pr>
      <w:rFonts w:ascii="Courier New" w:eastAsia="Times New Roman" w:hAnsi="Courier New" w:cs="Courier New"/>
      <w:sz w:val="20"/>
      <w:szCs w:val="20"/>
      <w:lang w:eastAsia="en-GB"/>
    </w:r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6757396">
      <w:bodyDiv w:val="1"/>
      <w:marLeft w:val="0"/>
      <w:marRight w:val="0"/>
      <w:marTop w:val="0"/>
      <w:marBottom w:val="0"/>
      <w:divBdr>
        <w:top w:val="none" w:sz="0" w:space="0" w:color="auto"/>
        <w:left w:val="none" w:sz="0" w:space="0" w:color="auto"/>
        <w:bottom w:val="none" w:sz="0" w:space="0" w:color="auto"/>
        <w:right w:val="none" w:sz="0" w:space="0" w:color="auto"/>
      </w:divBdr>
    </w:div>
    <w:div w:id="520433644">
      <w:bodyDiv w:val="1"/>
      <w:marLeft w:val="0"/>
      <w:marRight w:val="0"/>
      <w:marTop w:val="0"/>
      <w:marBottom w:val="0"/>
      <w:divBdr>
        <w:top w:val="none" w:sz="0" w:space="0" w:color="auto"/>
        <w:left w:val="none" w:sz="0" w:space="0" w:color="auto"/>
        <w:bottom w:val="none" w:sz="0" w:space="0" w:color="auto"/>
        <w:right w:val="none" w:sz="0" w:space="0" w:color="auto"/>
      </w:divBdr>
    </w:div>
    <w:div w:id="553930218">
      <w:bodyDiv w:val="1"/>
      <w:marLeft w:val="0"/>
      <w:marRight w:val="0"/>
      <w:marTop w:val="0"/>
      <w:marBottom w:val="0"/>
      <w:divBdr>
        <w:top w:val="none" w:sz="0" w:space="0" w:color="auto"/>
        <w:left w:val="none" w:sz="0" w:space="0" w:color="auto"/>
        <w:bottom w:val="none" w:sz="0" w:space="0" w:color="auto"/>
        <w:right w:val="none" w:sz="0" w:space="0" w:color="auto"/>
      </w:divBdr>
    </w:div>
    <w:div w:id="693075416">
      <w:bodyDiv w:val="1"/>
      <w:marLeft w:val="0"/>
      <w:marRight w:val="0"/>
      <w:marTop w:val="0"/>
      <w:marBottom w:val="0"/>
      <w:divBdr>
        <w:top w:val="none" w:sz="0" w:space="0" w:color="auto"/>
        <w:left w:val="none" w:sz="0" w:space="0" w:color="auto"/>
        <w:bottom w:val="none" w:sz="0" w:space="0" w:color="auto"/>
        <w:right w:val="none" w:sz="0" w:space="0" w:color="auto"/>
      </w:divBdr>
    </w:div>
    <w:div w:id="728725884">
      <w:bodyDiv w:val="1"/>
      <w:marLeft w:val="0"/>
      <w:marRight w:val="0"/>
      <w:marTop w:val="0"/>
      <w:marBottom w:val="0"/>
      <w:divBdr>
        <w:top w:val="none" w:sz="0" w:space="0" w:color="auto"/>
        <w:left w:val="none" w:sz="0" w:space="0" w:color="auto"/>
        <w:bottom w:val="none" w:sz="0" w:space="0" w:color="auto"/>
        <w:right w:val="none" w:sz="0" w:space="0" w:color="auto"/>
      </w:divBdr>
    </w:div>
    <w:div w:id="1019966033">
      <w:bodyDiv w:val="1"/>
      <w:marLeft w:val="0"/>
      <w:marRight w:val="0"/>
      <w:marTop w:val="0"/>
      <w:marBottom w:val="0"/>
      <w:divBdr>
        <w:top w:val="none" w:sz="0" w:space="0" w:color="auto"/>
        <w:left w:val="none" w:sz="0" w:space="0" w:color="auto"/>
        <w:bottom w:val="none" w:sz="0" w:space="0" w:color="auto"/>
        <w:right w:val="none" w:sz="0" w:space="0" w:color="auto"/>
      </w:divBdr>
    </w:div>
    <w:div w:id="1118910881">
      <w:bodyDiv w:val="1"/>
      <w:marLeft w:val="0"/>
      <w:marRight w:val="0"/>
      <w:marTop w:val="0"/>
      <w:marBottom w:val="0"/>
      <w:divBdr>
        <w:top w:val="none" w:sz="0" w:space="0" w:color="auto"/>
        <w:left w:val="none" w:sz="0" w:space="0" w:color="auto"/>
        <w:bottom w:val="none" w:sz="0" w:space="0" w:color="auto"/>
        <w:right w:val="none" w:sz="0" w:space="0" w:color="auto"/>
      </w:divBdr>
    </w:div>
    <w:div w:id="1189757015">
      <w:bodyDiv w:val="1"/>
      <w:marLeft w:val="0"/>
      <w:marRight w:val="0"/>
      <w:marTop w:val="0"/>
      <w:marBottom w:val="0"/>
      <w:divBdr>
        <w:top w:val="none" w:sz="0" w:space="0" w:color="auto"/>
        <w:left w:val="none" w:sz="0" w:space="0" w:color="auto"/>
        <w:bottom w:val="none" w:sz="0" w:space="0" w:color="auto"/>
        <w:right w:val="none" w:sz="0" w:space="0" w:color="auto"/>
      </w:divBdr>
    </w:div>
    <w:div w:id="1231161600">
      <w:bodyDiv w:val="1"/>
      <w:marLeft w:val="0"/>
      <w:marRight w:val="0"/>
      <w:marTop w:val="0"/>
      <w:marBottom w:val="0"/>
      <w:divBdr>
        <w:top w:val="none" w:sz="0" w:space="0" w:color="auto"/>
        <w:left w:val="none" w:sz="0" w:space="0" w:color="auto"/>
        <w:bottom w:val="none" w:sz="0" w:space="0" w:color="auto"/>
        <w:right w:val="none" w:sz="0" w:space="0" w:color="auto"/>
      </w:divBdr>
    </w:div>
    <w:div w:id="1483037803">
      <w:bodyDiv w:val="1"/>
      <w:marLeft w:val="0"/>
      <w:marRight w:val="0"/>
      <w:marTop w:val="0"/>
      <w:marBottom w:val="0"/>
      <w:divBdr>
        <w:top w:val="none" w:sz="0" w:space="0" w:color="auto"/>
        <w:left w:val="none" w:sz="0" w:space="0" w:color="auto"/>
        <w:bottom w:val="none" w:sz="0" w:space="0" w:color="auto"/>
        <w:right w:val="none" w:sz="0" w:space="0" w:color="auto"/>
      </w:divBdr>
    </w:div>
    <w:div w:id="1578250959">
      <w:bodyDiv w:val="1"/>
      <w:marLeft w:val="0"/>
      <w:marRight w:val="0"/>
      <w:marTop w:val="0"/>
      <w:marBottom w:val="0"/>
      <w:divBdr>
        <w:top w:val="none" w:sz="0" w:space="0" w:color="auto"/>
        <w:left w:val="none" w:sz="0" w:space="0" w:color="auto"/>
        <w:bottom w:val="none" w:sz="0" w:space="0" w:color="auto"/>
        <w:right w:val="none" w:sz="0" w:space="0" w:color="auto"/>
      </w:divBdr>
    </w:div>
    <w:div w:id="1619993034">
      <w:bodyDiv w:val="1"/>
      <w:marLeft w:val="0"/>
      <w:marRight w:val="0"/>
      <w:marTop w:val="0"/>
      <w:marBottom w:val="0"/>
      <w:divBdr>
        <w:top w:val="none" w:sz="0" w:space="0" w:color="auto"/>
        <w:left w:val="none" w:sz="0" w:space="0" w:color="auto"/>
        <w:bottom w:val="none" w:sz="0" w:space="0" w:color="auto"/>
        <w:right w:val="none" w:sz="0" w:space="0" w:color="auto"/>
      </w:divBdr>
    </w:div>
    <w:div w:id="179825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5.wmf"/><Relationship Id="rId26" Type="http://schemas.openxmlformats.org/officeDocument/2006/relationships/image" Target="media/image11.tiff"/><Relationship Id="rId39" Type="http://schemas.openxmlformats.org/officeDocument/2006/relationships/hyperlink" Target="https://doi.org/10.4161/cbt.5.6.2906" TargetMode="External"/><Relationship Id="rId21" Type="http://schemas.openxmlformats.org/officeDocument/2006/relationships/oleObject" Target="embeddings/oleObject6.bin"/><Relationship Id="rId34" Type="http://schemas.openxmlformats.org/officeDocument/2006/relationships/hyperlink" Target="http://dx.doi.org/10.1038/sj.onc.1203282" TargetMode="External"/><Relationship Id="rId42" Type="http://schemas.openxmlformats.org/officeDocument/2006/relationships/hyperlink" Target="http://dx.doi.org/10.1097/CAD.0000000000000679" TargetMode="External"/><Relationship Id="rId47" Type="http://schemas.openxmlformats.org/officeDocument/2006/relationships/hyperlink" Target="https://doi.org/10.1016/j.bmcl.2014.03.079" TargetMode="External"/><Relationship Id="rId50" Type="http://schemas.openxmlformats.org/officeDocument/2006/relationships/hyperlink" Target="https://doi.org/10.1021/jm050540c" TargetMode="External"/><Relationship Id="rId55" Type="http://schemas.openxmlformats.org/officeDocument/2006/relationships/hyperlink" Target="http://dx.doi.org/10.1021/ci600426e" TargetMode="External"/><Relationship Id="rId63" Type="http://schemas.openxmlformats.org/officeDocument/2006/relationships/hyperlink" Target="http://dx.doi.org/10.1038/nature12167"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wmf"/><Relationship Id="rId29" Type="http://schemas.openxmlformats.org/officeDocument/2006/relationships/hyperlink" Target="http://dx.doi.org/10.1038/s41594-017-001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9.tiff"/><Relationship Id="rId32" Type="http://schemas.openxmlformats.org/officeDocument/2006/relationships/hyperlink" Target="http://dx.doi.org/10.1097/CAD.0000000000000609" TargetMode="External"/><Relationship Id="rId37" Type="http://schemas.openxmlformats.org/officeDocument/2006/relationships/hyperlink" Target="file:///D:\me-tema\Smo%20Receptor\Submiteri\SMO-Phase-articol\Serbian\v" TargetMode="External"/><Relationship Id="rId40" Type="http://schemas.openxmlformats.org/officeDocument/2006/relationships/hyperlink" Target="http://dx.doi.org/10.1038/nature01972" TargetMode="External"/><Relationship Id="rId45" Type="http://schemas.openxmlformats.org/officeDocument/2006/relationships/hyperlink" Target="http://dx.doi.org/10.1158/1078-0432.CCR-14-3180" TargetMode="External"/><Relationship Id="rId53" Type="http://schemas.openxmlformats.org/officeDocument/2006/relationships/hyperlink" Target="http://dx.doi.org/10.1021/ci5002668" TargetMode="External"/><Relationship Id="rId58" Type="http://schemas.openxmlformats.org/officeDocument/2006/relationships/hyperlink" Target="http://dx.doi.org/10.1007/s10822-007-9151-x" TargetMode="External"/><Relationship Id="rId66"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8.tiff"/><Relationship Id="rId28" Type="http://schemas.openxmlformats.org/officeDocument/2006/relationships/hyperlink" Target="http://dx.doi.org/10.2174/138161212799040529" TargetMode="External"/><Relationship Id="rId36" Type="http://schemas.openxmlformats.org/officeDocument/2006/relationships/hyperlink" Target="file:///D:\me-tema\Smo%20Receptor\Submiteri\SMO-Phase-articol\Serbian\v" TargetMode="External"/><Relationship Id="rId49" Type="http://schemas.openxmlformats.org/officeDocument/2006/relationships/hyperlink" Target="https://doi.org/10.1021/jm0306430" TargetMode="External"/><Relationship Id="rId57" Type="http://schemas.openxmlformats.org/officeDocument/2006/relationships/hyperlink" Target="http://dx.doi.org/10.1016/j.patrec.2005.10.010" TargetMode="External"/><Relationship Id="rId61" Type="http://schemas.openxmlformats.org/officeDocument/2006/relationships/hyperlink" Target="http://dx.doi.org/10.1006/jmbi.1999.3371" TargetMode="External"/><Relationship Id="rId10" Type="http://schemas.openxmlformats.org/officeDocument/2006/relationships/image" Target="media/image1.wmf"/><Relationship Id="rId19" Type="http://schemas.openxmlformats.org/officeDocument/2006/relationships/oleObject" Target="embeddings/oleObject5.bin"/><Relationship Id="rId31" Type="http://schemas.openxmlformats.org/officeDocument/2006/relationships/hyperlink" Target="http://revroum.lew.ro/wp-content/uploads/2009/RRCh_2_2009/Art%2007.pdf" TargetMode="External"/><Relationship Id="rId44" Type="http://schemas.openxmlformats.org/officeDocument/2006/relationships/hyperlink" Target="http://dx.doi.org/10.3390/cancers8020022" TargetMode="External"/><Relationship Id="rId52" Type="http://schemas.openxmlformats.org/officeDocument/2006/relationships/hyperlink" Target="https://doi.org/10.1023/A:1020869118689" TargetMode="External"/><Relationship Id="rId60" Type="http://schemas.openxmlformats.org/officeDocument/2006/relationships/hyperlink" Target="http://dx.doi.org/10.1080/07391102.2016.1202863"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wmf"/><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hyperlink" Target="http://dx.doi.org/10.1016/j.bmc.2014.12.034" TargetMode="External"/><Relationship Id="rId35" Type="http://schemas.openxmlformats.org/officeDocument/2006/relationships/hyperlink" Target="http://dx.doi.org/10.1016/j.tips.2009.03.007" TargetMode="External"/><Relationship Id="rId43" Type="http://schemas.openxmlformats.org/officeDocument/2006/relationships/hyperlink" Target="http://dx.doi.org/10.1016/j.devcel.2008.11.010" TargetMode="External"/><Relationship Id="rId48" Type="http://schemas.openxmlformats.org/officeDocument/2006/relationships/hyperlink" Target="http://dx.doi.org/10.1007/s10822-006-9087-6" TargetMode="External"/><Relationship Id="rId56" Type="http://schemas.openxmlformats.org/officeDocument/2006/relationships/hyperlink" Target="http://dx.doi.org/10.1145/1656274.1656278" TargetMode="External"/><Relationship Id="rId64" Type="http://schemas.openxmlformats.org/officeDocument/2006/relationships/hyperlink" Target="http://dx.doi.org/10.1038/nature18934" TargetMode="External"/><Relationship Id="rId8" Type="http://schemas.openxmlformats.org/officeDocument/2006/relationships/header" Target="header1.xml"/><Relationship Id="rId51" Type="http://schemas.openxmlformats.org/officeDocument/2006/relationships/hyperlink" Target="https://doi.org/10.1016/S1093-3263(01)00123-1" TargetMode="Externa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oleObject" Target="embeddings/oleObject4.bin"/><Relationship Id="rId25" Type="http://schemas.openxmlformats.org/officeDocument/2006/relationships/image" Target="media/image10.tiff"/><Relationship Id="rId33" Type="http://schemas.openxmlformats.org/officeDocument/2006/relationships/hyperlink" Target="http://dx.doi.org/10.1038/nrd2086" TargetMode="External"/><Relationship Id="rId38" Type="http://schemas.openxmlformats.org/officeDocument/2006/relationships/hyperlink" Target="http://dx.doi.org/10.1002/ijc.20227" TargetMode="External"/><Relationship Id="rId46" Type="http://schemas.openxmlformats.org/officeDocument/2006/relationships/hyperlink" Target="http://dx.doi.org/10.1002/med.21482" TargetMode="External"/><Relationship Id="rId59" Type="http://schemas.openxmlformats.org/officeDocument/2006/relationships/hyperlink" Target="http://dx.doi.org/10.1021/acs.jcim.6b00518" TargetMode="External"/><Relationship Id="rId67" Type="http://schemas.openxmlformats.org/officeDocument/2006/relationships/fontTable" Target="fontTable.xml"/><Relationship Id="rId20" Type="http://schemas.openxmlformats.org/officeDocument/2006/relationships/image" Target="media/image6.wmf"/><Relationship Id="rId41" Type="http://schemas.openxmlformats.org/officeDocument/2006/relationships/hyperlink" Target="http://dx.doi.org/10.1038/nature02962" TargetMode="External"/><Relationship Id="rId54" Type="http://schemas.openxmlformats.org/officeDocument/2006/relationships/hyperlink" Target="http://dx.doi.org/10.1148/radiology.143.1.7063747" TargetMode="External"/><Relationship Id="rId62" Type="http://schemas.openxmlformats.org/officeDocument/2006/relationships/hyperlink" Target="http://dx.doi.org/10.1038/ncomms53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7947CE-9CC9-4EF5-9B1F-287A7F3BC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14</Pages>
  <Words>4482</Words>
  <Characters>25552</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10</cp:revision>
  <dcterms:created xsi:type="dcterms:W3CDTF">2019-06-27T08:11:00Z</dcterms:created>
  <dcterms:modified xsi:type="dcterms:W3CDTF">2019-07-05T06:34:00Z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