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AB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MATERIAL</w:t>
      </w:r>
    </w:p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27706" w:rsidRDefault="00C27706" w:rsidP="00AD690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QSAR Study of octanol/water partition coefficient of organophosphorous compounds: Hybrid (GA/ MLR) Approach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</w:t>
      </w: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Hybrid (GA/ </w:t>
      </w:r>
      <w:r w:rsidR="00AD6907">
        <w:rPr>
          <w:rFonts w:asciiTheme="majorBidi" w:hAnsiTheme="majorBidi" w:cstheme="majorBidi"/>
          <w:b/>
          <w:bCs/>
          <w:sz w:val="24"/>
          <w:szCs w:val="24"/>
          <w:lang w:val="en-US"/>
        </w:rPr>
        <w:t>ANN</w:t>
      </w:r>
      <w:r w:rsidRPr="00545A8D">
        <w:rPr>
          <w:rFonts w:asciiTheme="majorBidi" w:hAnsiTheme="majorBidi" w:cstheme="majorBidi"/>
          <w:b/>
          <w:bCs/>
          <w:sz w:val="24"/>
          <w:szCs w:val="24"/>
          <w:lang w:val="en-US"/>
        </w:rPr>
        <w:t>) Approach.</w:t>
      </w:r>
    </w:p>
    <w:p w:rsidR="004F54C1" w:rsidRPr="00BB71E6" w:rsidRDefault="00C27706" w:rsidP="004F54C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RANA AMIRI</w:t>
      </w:r>
      <w:r w:rsidR="004F54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F54C1">
        <w:rPr>
          <w:rFonts w:asciiTheme="majorBidi" w:hAnsiTheme="majorBidi" w:cstheme="majorBidi"/>
          <w:sz w:val="24"/>
          <w:szCs w:val="24"/>
          <w:lang w:val="en-US"/>
        </w:rPr>
        <w:t xml:space="preserve">DJELLOUL </w:t>
      </w:r>
      <w:r w:rsidR="004F54C1" w:rsidRPr="00B925C2">
        <w:rPr>
          <w:rFonts w:asciiTheme="majorBidi" w:hAnsiTheme="majorBidi" w:cstheme="majorBidi"/>
          <w:sz w:val="24"/>
          <w:szCs w:val="24"/>
          <w:lang w:val="en-US"/>
        </w:rPr>
        <w:t>MESSADI</w:t>
      </w:r>
      <w:r w:rsidR="004F54C1"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4F54C1"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2"/>
        <w:t>*</w:t>
      </w:r>
      <w:r w:rsidR="003756EC">
        <w:rPr>
          <w:rFonts w:ascii="Times New Roman" w:hAnsi="Times New Roman"/>
          <w:sz w:val="24"/>
          <w:szCs w:val="24"/>
          <w:lang w:val="en-GB"/>
        </w:rPr>
        <w:t>and AMEL BOUAKKADIA</w:t>
      </w:r>
      <w:r w:rsidR="003756EC" w:rsidRPr="003756EC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4F54C1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C123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B925C2">
        <w:rPr>
          <w:lang w:val="en-US"/>
        </w:rPr>
        <w:t xml:space="preserve"> </w:t>
      </w:r>
      <w:r w:rsidRPr="00B925C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Environmental and Food Safety Laboratory, </w:t>
      </w:r>
      <w:r w:rsidRPr="00AC6949">
        <w:rPr>
          <w:rFonts w:asciiTheme="majorBidi" w:hAnsiTheme="majorBidi" w:cstheme="majorBidi"/>
          <w:i/>
          <w:iCs/>
          <w:sz w:val="24"/>
          <w:szCs w:val="24"/>
          <w:lang w:val="en-US"/>
        </w:rPr>
        <w:t>Badji Mokhtar-Annaba Universi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ty, BP.12, 23000 Annaba, Algeria</w:t>
      </w:r>
    </w:p>
    <w:p w:rsidR="003756EC" w:rsidRPr="003756EC" w:rsidRDefault="003756EC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AD6907">
        <w:rPr>
          <w:rStyle w:val="fontstyle01"/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D6907">
        <w:rPr>
          <w:rStyle w:val="fontstyle01"/>
          <w:rFonts w:asciiTheme="majorBidi" w:hAnsiTheme="majorBidi" w:cstheme="majorBidi"/>
          <w:sz w:val="24"/>
          <w:szCs w:val="24"/>
          <w:lang w:val="en-US"/>
        </w:rPr>
        <w:t>University Abbes Laghrour Khenchela - Algeria -BP 1252 Route de</w:t>
      </w:r>
      <w:r w:rsidRPr="00AD6907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br/>
      </w:r>
      <w:r w:rsidRPr="00AD6907">
        <w:rPr>
          <w:rStyle w:val="fontstyle01"/>
          <w:rFonts w:asciiTheme="majorBidi" w:hAnsiTheme="majorBidi" w:cstheme="majorBidi"/>
          <w:sz w:val="24"/>
          <w:szCs w:val="24"/>
          <w:lang w:val="en-US"/>
        </w:rPr>
        <w:t>Batna Khenchela 40004</w:t>
      </w:r>
    </w:p>
    <w:p w:rsidR="00C27706" w:rsidRDefault="00C27706" w:rsidP="00C2770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7706" w:rsidRDefault="00C27706" w:rsidP="00AD690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comparative results of MLR and </w:t>
      </w:r>
      <w:r w:rsidR="00AD6907">
        <w:rPr>
          <w:rFonts w:ascii="Times New Roman" w:hAnsi="Times New Roman"/>
          <w:sz w:val="24"/>
          <w:szCs w:val="24"/>
          <w:lang w:val="en-US"/>
        </w:rPr>
        <w:t>ANN</w:t>
      </w:r>
      <w:r w:rsidRPr="004851DE">
        <w:rPr>
          <w:rFonts w:ascii="Times New Roman" w:hAnsi="Times New Roman"/>
          <w:sz w:val="24"/>
          <w:szCs w:val="24"/>
          <w:lang w:val="en-US"/>
        </w:rPr>
        <w:t xml:space="preserve"> model are showed in </w:t>
      </w:r>
      <w:r>
        <w:rPr>
          <w:rFonts w:ascii="Times New Roman" w:hAnsi="Times New Roman"/>
          <w:sz w:val="24"/>
          <w:szCs w:val="24"/>
          <w:lang w:val="en-US"/>
        </w:rPr>
        <w:t>TABLE S-I</w:t>
      </w:r>
      <w:r w:rsidRPr="004851DE">
        <w:rPr>
          <w:rFonts w:ascii="Times New Roman" w:hAnsi="Times New Roman"/>
          <w:sz w:val="24"/>
          <w:szCs w:val="24"/>
          <w:lang w:val="en-US"/>
        </w:rPr>
        <w:t xml:space="preserve">. The results </w:t>
      </w:r>
      <w:r w:rsidRPr="00812678">
        <w:rPr>
          <w:rFonts w:ascii="Times New Roman" w:hAnsi="Times New Roman"/>
          <w:sz w:val="24"/>
          <w:szCs w:val="24"/>
          <w:lang w:val="en-US"/>
        </w:rPr>
        <w:t xml:space="preserve">demonstrated that </w:t>
      </w:r>
      <w:r w:rsidR="00AD6907">
        <w:rPr>
          <w:rFonts w:ascii="Times New Roman" w:hAnsi="Times New Roman"/>
          <w:sz w:val="24"/>
          <w:szCs w:val="24"/>
          <w:lang w:val="en-US"/>
        </w:rPr>
        <w:t>ANN</w:t>
      </w:r>
      <w:r w:rsidRPr="004851DE">
        <w:rPr>
          <w:rFonts w:ascii="Times New Roman" w:hAnsi="Times New Roman"/>
          <w:sz w:val="24"/>
          <w:szCs w:val="24"/>
          <w:lang w:val="en-US"/>
        </w:rPr>
        <w:t xml:space="preserve"> was more powerful than MLR, because the </w:t>
      </w:r>
      <w:r w:rsidR="00AD6907">
        <w:rPr>
          <w:rFonts w:ascii="Times New Roman" w:hAnsi="Times New Roman"/>
          <w:sz w:val="24"/>
          <w:szCs w:val="24"/>
          <w:lang w:val="en-US"/>
        </w:rPr>
        <w:t>ANN</w:t>
      </w:r>
      <w:r w:rsidRPr="004851DE">
        <w:rPr>
          <w:rFonts w:ascii="Times New Roman" w:hAnsi="Times New Roman"/>
          <w:sz w:val="24"/>
          <w:szCs w:val="24"/>
          <w:lang w:val="en-US"/>
        </w:rPr>
        <w:t xml:space="preserve"> model presented a high statistical quality and low prediction error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27706" w:rsidRPr="004E3773" w:rsidRDefault="00C27706" w:rsidP="00AD6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S-I. Comparative results of MLR and </w:t>
      </w:r>
      <w:r w:rsidR="00AD6907">
        <w:rPr>
          <w:rFonts w:ascii="Times New Roman" w:hAnsi="Times New Roman"/>
          <w:sz w:val="24"/>
          <w:szCs w:val="24"/>
          <w:lang w:val="en-US"/>
        </w:rPr>
        <w:t>ANN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04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208"/>
        <w:gridCol w:w="7"/>
      </w:tblGrid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C27706" w:rsidRPr="009D454C" w:rsidRDefault="00C27706" w:rsidP="00CE1DD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</w:rPr>
              <w:t>Méthodes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</w:rPr>
              <w:t>Training set= 28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</w:rPr>
              <w:t>MLR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</w:rPr>
              <w:t>SVM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94.09%</w:t>
            </w:r>
          </w:p>
        </w:tc>
        <w:tc>
          <w:tcPr>
            <w:tcW w:w="1208" w:type="dxa"/>
            <w:tcBorders>
              <w:top w:val="nil"/>
            </w:tcBorders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%</w:t>
            </w:r>
          </w:p>
        </w:tc>
      </w:tr>
      <w:tr w:rsidR="00C27706" w:rsidRPr="009D454C" w:rsidTr="00CE1DD8">
        <w:trPr>
          <w:gridAfter w:val="1"/>
          <w:wAfter w:w="7" w:type="dxa"/>
          <w:trHeight w:val="551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ext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92.43%</w:t>
            </w:r>
          </w:p>
        </w:tc>
        <w:tc>
          <w:tcPr>
            <w:tcW w:w="1208" w:type="dxa"/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2.17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%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SDE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0.471</w:t>
            </w:r>
          </w:p>
        </w:tc>
        <w:tc>
          <w:tcPr>
            <w:tcW w:w="1208" w:type="dxa"/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32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SDE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ext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7706" w:rsidRPr="009D454C" w:rsidRDefault="00C27706" w:rsidP="00CE1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0.533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27706" w:rsidRPr="009D454C" w:rsidRDefault="00AD6907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0.46</w:t>
            </w:r>
            <w:r w:rsidR="00C27706"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</w:rPr>
              <w:t>Validation set=15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test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89.35%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53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%</w:t>
            </w:r>
          </w:p>
        </w:tc>
      </w:tr>
      <w:tr w:rsidR="00C27706" w:rsidRPr="009D454C" w:rsidTr="00CE1DD8">
        <w:trPr>
          <w:gridAfter w:val="1"/>
          <w:wAfter w:w="7" w:type="dxa"/>
          <w:trHeight w:val="551"/>
        </w:trPr>
        <w:tc>
          <w:tcPr>
            <w:tcW w:w="1842" w:type="dxa"/>
            <w:vMerge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ext</w:t>
            </w:r>
          </w:p>
        </w:tc>
        <w:tc>
          <w:tcPr>
            <w:tcW w:w="1842" w:type="dxa"/>
            <w:tcBorders>
              <w:top w:val="nil"/>
            </w:tcBorders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89.73%</w:t>
            </w:r>
          </w:p>
        </w:tc>
        <w:tc>
          <w:tcPr>
            <w:tcW w:w="1208" w:type="dxa"/>
            <w:tcBorders>
              <w:top w:val="nil"/>
            </w:tcBorders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%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)/ 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&lt;0.1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-0.1188</w:t>
            </w:r>
          </w:p>
        </w:tc>
        <w:tc>
          <w:tcPr>
            <w:tcW w:w="1208" w:type="dxa"/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75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-r’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)/ r</w:t>
            </w:r>
            <w:r w:rsidRPr="009D454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&lt;0.1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-0.118</w:t>
            </w:r>
          </w:p>
        </w:tc>
        <w:tc>
          <w:tcPr>
            <w:tcW w:w="1208" w:type="dxa"/>
          </w:tcPr>
          <w:p w:rsidR="00C27706" w:rsidRPr="009D454C" w:rsidRDefault="00C27706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-0.0</w:t>
            </w:r>
            <w:r w:rsidR="00AD69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797</w:t>
            </w:r>
          </w:p>
        </w:tc>
      </w:tr>
      <w:tr w:rsidR="00C27706" w:rsidRPr="009D454C" w:rsidTr="00CE1DD8">
        <w:trPr>
          <w:gridAfter w:val="1"/>
          <w:wAfter w:w="7" w:type="dxa"/>
          <w:trHeight w:val="550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0.85 &lt; k&lt; 1.15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0.9917</w:t>
            </w:r>
          </w:p>
        </w:tc>
        <w:tc>
          <w:tcPr>
            <w:tcW w:w="1208" w:type="dxa"/>
          </w:tcPr>
          <w:p w:rsidR="00C27706" w:rsidRPr="009D454C" w:rsidRDefault="00AD6907" w:rsidP="00CE1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0.9701</w:t>
            </w:r>
          </w:p>
        </w:tc>
      </w:tr>
      <w:tr w:rsidR="00C27706" w:rsidRPr="009D454C" w:rsidTr="00CE1DD8">
        <w:trPr>
          <w:trHeight w:val="551"/>
        </w:trPr>
        <w:tc>
          <w:tcPr>
            <w:tcW w:w="1842" w:type="dxa"/>
            <w:vMerge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0.85&lt; k’&lt; 1.15</w:t>
            </w:r>
          </w:p>
        </w:tc>
        <w:tc>
          <w:tcPr>
            <w:tcW w:w="1842" w:type="dxa"/>
          </w:tcPr>
          <w:p w:rsidR="00C27706" w:rsidRPr="009D454C" w:rsidRDefault="00C27706" w:rsidP="00CE1D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0.9851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27706" w:rsidRPr="009D454C" w:rsidRDefault="00AD6907" w:rsidP="00AD6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C27706" w:rsidRPr="009D45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0138</w:t>
            </w:r>
          </w:p>
        </w:tc>
      </w:tr>
    </w:tbl>
    <w:p w:rsidR="00C27706" w:rsidRDefault="00C27706" w:rsidP="00C2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5487" w:rsidRDefault="002C5487"/>
    <w:sectPr w:rsidR="002C5487" w:rsidSect="003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5B" w:rsidRDefault="0051215B" w:rsidP="00C51F87">
      <w:pPr>
        <w:spacing w:after="0" w:line="240" w:lineRule="auto"/>
      </w:pPr>
      <w:r>
        <w:separator/>
      </w:r>
    </w:p>
  </w:endnote>
  <w:endnote w:type="continuationSeparator" w:id="1">
    <w:p w:rsidR="0051215B" w:rsidRDefault="0051215B" w:rsidP="00C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5B" w:rsidRDefault="0051215B" w:rsidP="00C51F87">
      <w:pPr>
        <w:spacing w:after="0" w:line="240" w:lineRule="auto"/>
      </w:pPr>
      <w:r>
        <w:separator/>
      </w:r>
    </w:p>
  </w:footnote>
  <w:footnote w:type="continuationSeparator" w:id="1">
    <w:p w:rsidR="0051215B" w:rsidRDefault="0051215B" w:rsidP="00C51F87">
      <w:pPr>
        <w:spacing w:after="0" w:line="240" w:lineRule="auto"/>
      </w:pPr>
      <w:r>
        <w:continuationSeparator/>
      </w:r>
    </w:p>
  </w:footnote>
  <w:footnote w:id="2">
    <w:p w:rsidR="004F54C1" w:rsidRPr="00F24C6F" w:rsidRDefault="004F54C1" w:rsidP="004F54C1">
      <w:pPr>
        <w:rPr>
          <w:rFonts w:ascii="Times New Roman" w:hAnsi="Times New Roman"/>
          <w:lang w:val="en-US"/>
        </w:rPr>
      </w:pPr>
      <w:r w:rsidRPr="00415185">
        <w:rPr>
          <w:rFonts w:ascii="Times New Roman" w:hAnsi="Times New Roman"/>
          <w:lang w:val="en-US"/>
        </w:rPr>
        <w:t xml:space="preserve">*Corresponding author.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  <w:r w:rsidRPr="00F24C6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F87"/>
    <w:rsid w:val="000D5EAB"/>
    <w:rsid w:val="00110925"/>
    <w:rsid w:val="00214375"/>
    <w:rsid w:val="0025156D"/>
    <w:rsid w:val="00291A69"/>
    <w:rsid w:val="002C5487"/>
    <w:rsid w:val="00342C65"/>
    <w:rsid w:val="003756EC"/>
    <w:rsid w:val="003D46B0"/>
    <w:rsid w:val="004F54C1"/>
    <w:rsid w:val="00506B0E"/>
    <w:rsid w:val="0051215B"/>
    <w:rsid w:val="00545E7C"/>
    <w:rsid w:val="00737776"/>
    <w:rsid w:val="00750953"/>
    <w:rsid w:val="007A76A9"/>
    <w:rsid w:val="00875F45"/>
    <w:rsid w:val="00897941"/>
    <w:rsid w:val="009072A1"/>
    <w:rsid w:val="00983A8F"/>
    <w:rsid w:val="00AD6907"/>
    <w:rsid w:val="00C27706"/>
    <w:rsid w:val="00C51F87"/>
    <w:rsid w:val="00C56562"/>
    <w:rsid w:val="00F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3756E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YOUCEF-PC</dc:creator>
  <cp:keywords/>
  <dc:description/>
  <cp:lastModifiedBy>RANA</cp:lastModifiedBy>
  <cp:revision>11</cp:revision>
  <dcterms:created xsi:type="dcterms:W3CDTF">2018-08-12T08:24:00Z</dcterms:created>
  <dcterms:modified xsi:type="dcterms:W3CDTF">2019-05-19T00:26:00Z</dcterms:modified>
</cp:coreProperties>
</file>