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1A" w:rsidRDefault="002842A7">
      <w:pPr>
        <w:rPr>
          <w:rFonts w:ascii="Times New Roman" w:hAnsi="Times New Roman" w:cs="Times New Roman"/>
          <w:sz w:val="24"/>
          <w:szCs w:val="24"/>
        </w:rPr>
      </w:pPr>
      <w:r w:rsidRPr="002842A7">
        <w:rPr>
          <w:rFonts w:ascii="Times New Roman" w:hAnsi="Times New Roman" w:cs="Times New Roman"/>
          <w:sz w:val="24"/>
          <w:szCs w:val="24"/>
        </w:rPr>
        <w:t>Supplementary material</w:t>
      </w:r>
    </w:p>
    <w:p w:rsidR="002842A7" w:rsidRPr="003F346A" w:rsidRDefault="002842A7" w:rsidP="00284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F346A">
        <w:rPr>
          <w:rFonts w:ascii="Times New Roman" w:hAnsi="Times New Roman" w:cs="Times New Roman"/>
          <w:b/>
          <w:sz w:val="24"/>
          <w:szCs w:val="24"/>
          <w:lang w:val="en-GB"/>
        </w:rPr>
        <w:t>Anticancer and antimicrobial properties of imidazolium based ionic liquids with salicylate anion</w:t>
      </w:r>
    </w:p>
    <w:p w:rsidR="002842A7" w:rsidRDefault="002842A7" w:rsidP="002842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457C2">
        <w:rPr>
          <w:rFonts w:ascii="Times New Roman" w:hAnsi="Times New Roman" w:cs="Times New Roman"/>
          <w:sz w:val="24"/>
          <w:szCs w:val="24"/>
          <w:lang w:val="en-GB"/>
        </w:rPr>
        <w:t>SUZANA JOVANOVIĆ-ŠANTA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457C2">
        <w:rPr>
          <w:rFonts w:ascii="Times New Roman" w:hAnsi="Times New Roman" w:cs="Times New Roman"/>
          <w:sz w:val="24"/>
          <w:szCs w:val="24"/>
          <w:lang w:val="en-GB"/>
        </w:rPr>
        <w:t>, VESNA KOJIĆ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8457C2">
        <w:rPr>
          <w:rFonts w:ascii="Times New Roman" w:hAnsi="Times New Roman" w:cs="Times New Roman"/>
          <w:sz w:val="24"/>
          <w:szCs w:val="24"/>
          <w:lang w:val="en-GB"/>
        </w:rPr>
        <w:t>, KRISTINA ATLAGIĆ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8457C2">
        <w:rPr>
          <w:rFonts w:ascii="Times New Roman" w:hAnsi="Times New Roman" w:cs="Times New Roman"/>
          <w:sz w:val="24"/>
          <w:szCs w:val="24"/>
          <w:lang w:val="en-GB"/>
        </w:rPr>
        <w:t xml:space="preserve">, ALEKSANDAR TOT, </w:t>
      </w:r>
      <w:r>
        <w:rPr>
          <w:rFonts w:ascii="Times New Roman" w:hAnsi="Times New Roman" w:cs="Times New Roman"/>
          <w:sz w:val="24"/>
          <w:szCs w:val="24"/>
          <w:lang w:val="en-GB"/>
        </w:rPr>
        <w:t>MILAN VRANEŠ, SLOBODAN GADŽURIĆ and</w:t>
      </w:r>
      <w:r w:rsidRPr="008457C2">
        <w:rPr>
          <w:rFonts w:ascii="Times New Roman" w:hAnsi="Times New Roman" w:cs="Times New Roman"/>
          <w:sz w:val="24"/>
          <w:szCs w:val="24"/>
          <w:lang w:val="en-GB"/>
        </w:rPr>
        <w:t xml:space="preserve"> MAJA KARAMAN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</w:p>
    <w:p w:rsidR="002842A7" w:rsidRPr="003A35C2" w:rsidRDefault="002842A7" w:rsidP="002842A7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i/>
          <w:lang w:val="en-GB"/>
        </w:rPr>
      </w:pPr>
      <w:r w:rsidRPr="003A35C2">
        <w:rPr>
          <w:rFonts w:ascii="Times New Roman" w:hAnsi="Times New Roman" w:cs="Times New Roman"/>
          <w:i/>
          <w:lang w:val="en-GB"/>
        </w:rPr>
        <w:t>University of Novi Sad, Faculty of Sciences, Department of Chemistry, Biochemistry and Environmental protection, TrgDositejaObradovica 3, 21000 Novi Sad, Serbia</w:t>
      </w:r>
    </w:p>
    <w:p w:rsidR="002842A7" w:rsidRPr="003A35C2" w:rsidRDefault="002842A7" w:rsidP="002842A7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i/>
          <w:lang w:val="en-GB"/>
        </w:rPr>
      </w:pPr>
      <w:r w:rsidRPr="003A35C2">
        <w:rPr>
          <w:rFonts w:ascii="Times New Roman" w:hAnsi="Times New Roman" w:cs="Times New Roman"/>
          <w:i/>
          <w:vertAlign w:val="superscript"/>
          <w:lang w:val="en-GB"/>
        </w:rPr>
        <w:t>1</w:t>
      </w:r>
      <w:r w:rsidRPr="003A35C2">
        <w:rPr>
          <w:rFonts w:ascii="Times New Roman" w:hAnsi="Times New Roman" w:cs="Times New Roman"/>
          <w:i/>
          <w:lang w:val="en-GB"/>
        </w:rPr>
        <w:t>University of Novi Sad, Faculty of Medicine, Oncology Institute of Vojvodina, Put Dr Goldmana 4, 21204 Sremska Kamenica, Serbia</w:t>
      </w:r>
    </w:p>
    <w:p w:rsidR="002842A7" w:rsidRPr="003A35C2" w:rsidRDefault="002842A7" w:rsidP="002842A7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i/>
          <w:lang w:val="en-GB"/>
        </w:rPr>
      </w:pPr>
      <w:r w:rsidRPr="003A35C2">
        <w:rPr>
          <w:rFonts w:ascii="Times New Roman" w:hAnsi="Times New Roman" w:cs="Times New Roman"/>
          <w:i/>
          <w:vertAlign w:val="superscript"/>
          <w:lang w:val="en-GB"/>
        </w:rPr>
        <w:t>2</w:t>
      </w:r>
      <w:r w:rsidRPr="003A35C2">
        <w:rPr>
          <w:rFonts w:ascii="Times New Roman" w:hAnsi="Times New Roman" w:cs="Times New Roman"/>
          <w:i/>
          <w:lang w:val="en-GB"/>
        </w:rPr>
        <w:t>Department of Physiology and Biophysics, Faculty of Biology, University of Belgrade, Studentskitrg 16, Belgrade, Serbia</w:t>
      </w:r>
    </w:p>
    <w:p w:rsidR="002842A7" w:rsidRDefault="002842A7" w:rsidP="002842A7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vertAlign w:val="superscript"/>
          <w:lang w:val="en-GB"/>
        </w:rPr>
        <w:t>3</w:t>
      </w:r>
      <w:r w:rsidRPr="008457C2">
        <w:rPr>
          <w:rFonts w:ascii="Times New Roman" w:hAnsi="Times New Roman" w:cs="Times New Roman"/>
          <w:i/>
          <w:lang w:val="en-GB"/>
        </w:rPr>
        <w:t>University of Novi Sad, Faculty of Sciences, Department of Biology and Ecology, TrgDositejaObradovica 2, 21000 Novi Sad, Serbia</w:t>
      </w:r>
    </w:p>
    <w:p w:rsidR="002842A7" w:rsidRDefault="002842A7">
      <w:pPr>
        <w:rPr>
          <w:rFonts w:ascii="Times New Roman" w:hAnsi="Times New Roman" w:cs="Times New Roman"/>
          <w:sz w:val="24"/>
          <w:szCs w:val="24"/>
        </w:rPr>
      </w:pPr>
    </w:p>
    <w:p w:rsidR="00FA499F" w:rsidRPr="008457C2" w:rsidRDefault="00FA499F" w:rsidP="00FA49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</w:pPr>
      <w:r w:rsidRPr="00920C99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Determination of antiproliferative activity</w:t>
      </w:r>
    </w:p>
    <w:p w:rsidR="00FA499F" w:rsidRPr="00F02AC3" w:rsidRDefault="00FA499F" w:rsidP="00FA49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3A0CDC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Cell lines and cell culture</w:t>
      </w:r>
      <w:r w:rsidR="00B84B8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: </w:t>
      </w:r>
      <w:r w:rsidRPr="003A0CD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Antiproliferative activity of the imidazolium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-</w:t>
      </w:r>
      <w:r w:rsidRPr="003A0CD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and salicylate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-</w:t>
      </w:r>
      <w:r w:rsidRPr="003A0CD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based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ILs</w:t>
      </w:r>
      <w:r w:rsidRPr="003A0CD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was tested against six human cancer cell lines: two types of human breast adenocarcinoma, thus the estrogen receptor positive (ER+) MCF-7 (American Type Culture Collection</w:t>
      </w:r>
      <w:r w:rsidRPr="00FD2BEC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–</w:t>
      </w:r>
      <w:r w:rsidRPr="003A0CD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ATCC HTB22) and triple negative MDA-MB-231 (ATCC HTB26), prostate cancer PC-3 (ATCC CRL 1435), cervix adenocarcinoma HeLa (ATCC CCL2), colon cancer HT-29 (ATCC HTB38) and lung cancer A549 (ATCC CCL 185) cell lines, as we</w:t>
      </w:r>
      <w:r w:rsidRPr="005B7D5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ll </w:t>
      </w:r>
      <w:r w:rsidRPr="008018B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as normal fetal lung fibroblast cell line MRC-5 (ATCC CCL 171). Cells were grown in Dulbecco's modified Eagle's medium (DMEM) with 4.5% glucose, supplemented with 10% of fetal calf serum (Sigma) and antibiotics: 100 IU</w:t>
      </w:r>
      <w:r w:rsidRPr="00A1261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/mL</w:t>
      </w:r>
      <w:r w:rsidRPr="00102B33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penicillin and 100 </w:t>
      </w:r>
      <w:r w:rsidRPr="004020C5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µ</w:t>
      </w:r>
      <w:r w:rsidRPr="009F6AD5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g/mLstreptomycin (</w:t>
      </w:r>
      <w:r w:rsidRPr="008018B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Sigma</w:t>
      </w:r>
      <w:r w:rsidRPr="009F6AD5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). Cells were cultured in flasks (Costar, 25 cm</w:t>
      </w:r>
      <w:r w:rsidRPr="009F6AD5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2</w:t>
      </w:r>
      <w:r w:rsidRPr="009F6AD5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) at 37 °C in high humidity with 5% CO</w:t>
      </w:r>
      <w:r w:rsidRPr="007A403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GB"/>
        </w:rPr>
        <w:t>2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Only viable cells were used in the assays, and cell viability was determined by trypan blue dye exclusion test. </w:t>
      </w:r>
    </w:p>
    <w:p w:rsidR="00FA499F" w:rsidRPr="00102B33" w:rsidRDefault="00FA499F" w:rsidP="00FA49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50247C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Antiproliferative activity a</w:t>
      </w:r>
      <w:r w:rsidRPr="00406B7A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nd data analysis</w:t>
      </w:r>
      <w:r w:rsidR="00B84B8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: </w:t>
      </w:r>
      <w:r w:rsidRPr="00AE383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Antiproliferative activity of the imidazolium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-</w:t>
      </w:r>
      <w:r w:rsidRPr="00AE383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and salicylate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-</w:t>
      </w:r>
      <w:r w:rsidRPr="00AE383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based ILswas evaluated by tetrazolium colorimetric MTT assay,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13</w:t>
      </w:r>
      <w:r w:rsidRPr="00AE383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AE3831">
        <w:rPr>
          <w:rFonts w:ascii="Times New Roman" w:hAnsi="Times New Roman" w:cs="Times New Roman"/>
          <w:sz w:val="24"/>
          <w:szCs w:val="24"/>
          <w:lang w:val="en-GB"/>
        </w:rPr>
        <w:t>as previously described</w:t>
      </w:r>
      <w:r w:rsidRPr="00AE383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14</w:t>
      </w:r>
      <w:r w:rsidRPr="00AE383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AE3831">
        <w:rPr>
          <w:rFonts w:ascii="Times New Roman" w:hAnsi="Times New Roman"/>
          <w:sz w:val="24"/>
          <w:szCs w:val="24"/>
          <w:lang w:val="en-GB"/>
        </w:rPr>
        <w:t>To measure the number of viable cells in microwell plates, cells were exposed to test compounds for 72 h at five concentrations ranging from 0.01 to 100 μM (0.01; 0.1; 1; 10 and 100</w:t>
      </w:r>
      <w:r w:rsidRPr="00002065">
        <w:rPr>
          <w:rFonts w:ascii="Times New Roman" w:hAnsi="Times New Roman"/>
          <w:sz w:val="24"/>
          <w:szCs w:val="24"/>
          <w:lang w:val="en-GB"/>
        </w:rPr>
        <w:t xml:space="preserve"> μM)</w:t>
      </w:r>
      <w:r w:rsidRPr="00553947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55394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Reference compounds used in this assay were cisplatin (Cis)</w:t>
      </w:r>
      <w:r w:rsidRPr="00920C99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and doxorubicin (Dox)</w:t>
      </w:r>
      <w:r w:rsidRPr="008457C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as </w:t>
      </w:r>
      <w:r w:rsidRPr="00AE383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nonselective anticancer agents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15,16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AE383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and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AE3831">
        <w:rPr>
          <w:rFonts w:ascii="Times New Roman" w:hAnsi="Times New Roman"/>
          <w:sz w:val="24"/>
          <w:szCs w:val="24"/>
          <w:lang w:val="en-GB"/>
        </w:rPr>
        <w:t>sodium</w:t>
      </w:r>
      <w:r w:rsidRPr="00002065">
        <w:rPr>
          <w:rFonts w:ascii="Times New Roman" w:hAnsi="Times New Roman"/>
          <w:sz w:val="24"/>
          <w:szCs w:val="24"/>
          <w:lang w:val="en-GB"/>
        </w:rPr>
        <w:t xml:space="preserve"> salicylate</w:t>
      </w:r>
      <w:r w:rsidRPr="00002065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to test salicylate</w:t>
      </w:r>
      <w:r w:rsidRPr="0055394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toxicity, respectively. Exponentially growing cells were harvested, seeded into 96-well plates at a density of 5000 cells/well and allowed to stand overnight in complete medium at 37 °C, after which the medium containing the test compound was added (10 μL</w:t>
      </w:r>
      <w:r w:rsidRPr="00920C99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/well) in all wells except in negative </w:t>
      </w:r>
      <w:r w:rsidRPr="008457C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control</w:t>
      </w:r>
      <w:r w:rsidRPr="00260DB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s. After </w:t>
      </w:r>
      <w:r w:rsidRPr="00260DBC">
        <w:rPr>
          <w:rFonts w:ascii="Times New Roman" w:eastAsia="Calibri" w:hAnsi="Times New Roman" w:cs="Times New Roman"/>
          <w:bCs/>
          <w:sz w:val="24"/>
          <w:szCs w:val="24"/>
          <w:lang w:val="en-GB"/>
        </w:rPr>
        <w:lastRenderedPageBreak/>
        <w:t xml:space="preserve">72h treatment, 10 mL of MTT solution (5 mg/mL), and, after 3h, </w:t>
      </w:r>
      <w:r w:rsidRPr="009F6AD5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acidified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260DB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2-propanol were added to each well. After a few minutes incubation at room temperature absorbance was read on a spectrophotometric plate reader (Multiscan MCC340, Labsystems) a</w:t>
      </w:r>
      <w:r w:rsidRPr="003A0CD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 540/690 nm. Wells without cells, containing complete medium and MTT only, were used as a blank. Absorbances of samples (A</w:t>
      </w:r>
      <w:r w:rsidRPr="005B7D5A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en-GB"/>
        </w:rPr>
        <w:t>sample</w:t>
      </w:r>
      <w:r w:rsidRPr="008018B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) and control (A</w:t>
      </w:r>
      <w:r w:rsidRPr="008018B8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en-GB"/>
        </w:rPr>
        <w:t>control</w:t>
      </w:r>
      <w:r w:rsidRPr="008018B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) were measured and antiproliferative effect, presented as percent of cytotoxicity, was calculated accor</w:t>
      </w:r>
      <w:r w:rsidRPr="00A1261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ding to the formula:</w:t>
      </w:r>
    </w:p>
    <w:p w:rsidR="00FA499F" w:rsidRPr="00AE3831" w:rsidRDefault="00FA499F" w:rsidP="00FA499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AE383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CI (%) = (1 – </w:t>
      </w:r>
      <w:r w:rsidRPr="00AE3831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A</w:t>
      </w:r>
      <w:r w:rsidRPr="00AE383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GB"/>
        </w:rPr>
        <w:t>sample</w:t>
      </w:r>
      <w:r w:rsidRPr="00AE383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/</w:t>
      </w:r>
      <w:r w:rsidRPr="00AE3831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A</w:t>
      </w:r>
      <w:r w:rsidRPr="00AE383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GB"/>
        </w:rPr>
        <w:t>control</w:t>
      </w:r>
      <w:r w:rsidRPr="00AE383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) × 100</w:t>
      </w:r>
    </w:p>
    <w:p w:rsidR="00FA499F" w:rsidRPr="007C3A93" w:rsidRDefault="00FA499F" w:rsidP="00FA49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</w:pPr>
      <w:r w:rsidRPr="00AE383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The antiproliferative activity of compounds (expressed as a percentage of cytotoxicity) was obtained by averaging values from two independent experiments conducted in quadruplicate for each administrated concentration. The IC</w:t>
      </w:r>
      <w:r w:rsidRPr="00AE383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GB"/>
        </w:rPr>
        <w:t>50</w:t>
      </w:r>
      <w:r w:rsidRPr="00AE383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value, defined as a dose of compound that inhibits the cell growth by 50% related to control (untreated) cells, was determined for each tested compound by median effect analysis.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17</w:t>
      </w:r>
    </w:p>
    <w:p w:rsidR="00FA499F" w:rsidRPr="00553947" w:rsidRDefault="00FA499F" w:rsidP="00FA49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</w:pPr>
      <w:r w:rsidRPr="00AE3831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Antimicrobial activity and data analysis</w:t>
      </w:r>
    </w:p>
    <w:p w:rsidR="00FA499F" w:rsidRPr="00714C9B" w:rsidRDefault="00FA499F" w:rsidP="00FA49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714C9B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Bacterial and Candida strains</w:t>
      </w:r>
      <w:r w:rsidR="00B84B8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: 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Six bacterial strains including three Gram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-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positive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(G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+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) 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bacteria: </w:t>
      </w:r>
      <w:r w:rsidRPr="00714C9B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S. aureus</w:t>
      </w:r>
      <w:r w:rsidRPr="00E1133E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h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(human)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r w:rsidRPr="00714C9B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B. subtilis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ATCC 6633 and </w:t>
      </w:r>
      <w:r w:rsidRPr="00714C9B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E. faecalis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ATCC 19433 and three Gram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-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negative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(G</w:t>
      </w:r>
      <w:r w:rsidRPr="00955A34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) 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bacteria: </w:t>
      </w:r>
      <w:r w:rsidRPr="00714C9B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P. mirabilis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 xml:space="preserve"> </w:t>
      </w:r>
      <w:r w:rsidRPr="00E1133E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h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r w:rsidRPr="00714C9B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E. coli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ATCC 11229 and </w:t>
      </w:r>
      <w:r w:rsidRPr="00714C9B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P. aeruginosa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ATCC 15692, and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four 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yeast strains: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two of them (</w:t>
      </w:r>
      <w:r w:rsidRPr="00CA7C2B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C. albicans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 xml:space="preserve"> </w:t>
      </w:r>
      <w:r w:rsidRPr="00CA7C2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L 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and </w:t>
      </w:r>
      <w:r w:rsidRPr="00714C9B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C. albicans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 xml:space="preserve"> </w:t>
      </w:r>
      <w:r w:rsidRPr="00E1133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ATCC10231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)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were obtained from the culture collection of microorganisms from Department of Biology and Ecology, University of Novi Sad, while two human yeast isolates (</w:t>
      </w:r>
      <w:r w:rsidRPr="00714C9B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C. albicans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 xml:space="preserve"> 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III </w:t>
      </w:r>
      <w:r w:rsidRPr="00E1133E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h</w:t>
      </w:r>
      <w:r w:rsidRPr="00E1133E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and</w:t>
      </w:r>
      <w:r w:rsidRPr="00714C9B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 xml:space="preserve"> Candida 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IV </w:t>
      </w:r>
      <w:r w:rsidRPr="00E1133E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h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w</w:t>
      </w:r>
      <w:r w:rsidRPr="00C54DEF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ere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C54DEF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obtained from the Faculty of Medicin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e, Clinical Centre of Vojvodina. All human isolates of microorganisms were 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obtained from the Faculty of Medicine, Department of Obstetrics and Gynecology, University of Novi Sad,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were 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protocol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was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approved by the Institutional Ethical Board of the same Institution.</w:t>
      </w:r>
    </w:p>
    <w:p w:rsidR="00FA499F" w:rsidRDefault="00FA499F" w:rsidP="00B84B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714C9B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Antimicrobial assay</w:t>
      </w:r>
      <w:r w:rsidR="00B84B8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:</w:t>
      </w:r>
      <w:r w:rsidRPr="00714C9B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 xml:space="preserve"> 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The antibacterial activity of ILs was evaluated as minimum inhibitory concentrations (MICs) and minimum bactericidal/fungicidal concentrations (MBCs i.e. MFCs), by double-</w:t>
      </w:r>
      <w:r w:rsidRPr="00CA7C2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microdilution method according to the CLSI procedure.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18,19</w:t>
      </w:r>
      <w:r w:rsidRPr="00CA7C2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The strains of bacteria were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obtained from the overnight cultures, grown at 37°C on the Müller-Hinton agar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(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MHA, Torlak, Belgrade, Serbia), while yeasts strains were grown on the Sabouraud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gar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(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SA, Torlak, Belgrade, Serbia) during 48h. McFarland inoculum of bacteria and yeasts were prepared in the sterile saline solution; reaching the final 1.5×10</w:t>
      </w:r>
      <w:r w:rsidRPr="00714C9B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6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CFU/mL for bacteria and 1.5 x 10</w:t>
      </w:r>
      <w:r w:rsidRPr="00714C9B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5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for yeasts. Müeller Hinton broth (MHB, Torlak, Belgrade, Serbia) and Sabouraud broth (SB, Torlak, Belgrade, Serbia) were used for the antimicrobial screening. Double dilution test was performed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</w:t>
      </w:r>
      <w:r w:rsidRPr="00B51184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 a 96-well microtitre plate (Spektar, Čačak, Serbia)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with </w:t>
      </w:r>
      <w:r w:rsidRPr="00714C9B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MHB or SB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and different concentration of ILs, diluted in sterile </w:t>
      </w:r>
      <w:r w:rsidRPr="0092209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distilled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water</w:t>
      </w:r>
      <w:r w:rsidRPr="00B51184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 The final concentrations of ILs ranged from 0.01 – 11 mg/mL. After incubation, during 24h or 48h for bacteria or yeast, respectively, MICs were determined visually. MBCs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B51184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and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B51184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MFCs were confirmed after inoculation of MHA and SA plates with 100 µL of broth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,</w:t>
      </w:r>
      <w:r w:rsidRPr="00B51184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where </w:t>
      </w:r>
      <w:r w:rsidRPr="00B51184">
        <w:rPr>
          <w:rFonts w:ascii="Times New Roman" w:eastAsia="Calibri" w:hAnsi="Times New Roman" w:cs="Times New Roman"/>
          <w:bCs/>
          <w:sz w:val="24"/>
          <w:szCs w:val="24"/>
          <w:lang w:val="en-GB"/>
        </w:rPr>
        <w:lastRenderedPageBreak/>
        <w:t xml:space="preserve">turbidity was absent (MIC point). Nystatin, the antifungal drug (Hemofarm, Vršac, Serbia), andantibiotics streptomycin, kanamycin, ampicillin and </w:t>
      </w:r>
      <w:r w:rsidRPr="001C7B4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chloramphenicol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B51184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(Sigma), were used as </w:t>
      </w:r>
      <w:r w:rsidRPr="0093582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positive controls (in final concentrations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ranging from 0.01 – 0.45 mg/mL), while distilled water without ILs was used as negative control. Test was performed in triplicate for each compound and the average was used for getting MIC, MBC or MFC values</w:t>
      </w:r>
      <w:r w:rsidR="00A825F9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</w:p>
    <w:p w:rsidR="00A825F9" w:rsidRDefault="00A825F9" w:rsidP="00FA499F">
      <w:pPr>
        <w:spacing w:before="100" w:beforeAutospacing="1" w:after="12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en-GB"/>
        </w:rPr>
        <w:sectPr w:rsidR="00A825F9" w:rsidSect="00204659">
          <w:footerReference w:type="default" r:id="rId6"/>
          <w:pgSz w:w="11907" w:h="16840" w:code="9"/>
          <w:pgMar w:top="1134" w:right="1134" w:bottom="1134" w:left="1134" w:header="720" w:footer="72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925"/>
        <w:tblW w:w="4529" w:type="pct"/>
        <w:tblLook w:val="04A0"/>
      </w:tblPr>
      <w:tblGrid>
        <w:gridCol w:w="2071"/>
        <w:gridCol w:w="583"/>
        <w:gridCol w:w="583"/>
        <w:gridCol w:w="639"/>
        <w:gridCol w:w="628"/>
        <w:gridCol w:w="631"/>
        <w:gridCol w:w="748"/>
        <w:gridCol w:w="836"/>
        <w:gridCol w:w="748"/>
        <w:gridCol w:w="748"/>
        <w:gridCol w:w="684"/>
        <w:gridCol w:w="77"/>
        <w:gridCol w:w="666"/>
        <w:gridCol w:w="822"/>
        <w:gridCol w:w="731"/>
        <w:gridCol w:w="740"/>
        <w:gridCol w:w="77"/>
        <w:gridCol w:w="644"/>
        <w:gridCol w:w="19"/>
        <w:gridCol w:w="720"/>
      </w:tblGrid>
      <w:tr w:rsidR="00FA499F" w:rsidRPr="004A0419" w:rsidTr="00E76235">
        <w:trPr>
          <w:trHeight w:val="361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Kan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Amp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Chlo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 w:themeFill="background2" w:themeFillShade="E6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 w:themeFill="background2" w:themeFillShade="E6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 w:themeFill="background2" w:themeFillShade="E6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 w:themeFill="background2" w:themeFillShade="E6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 w:themeFill="background2" w:themeFillShade="E6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 w:themeFill="background2" w:themeFillShade="E6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FA499F" w:rsidRPr="004A0419" w:rsidTr="00E76235">
        <w:trPr>
          <w:trHeight w:val="27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Bacterial strains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MBC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MBC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MIC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MBC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MBC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MIC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MBC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MIC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MBC</w:t>
            </w:r>
          </w:p>
        </w:tc>
      </w:tr>
      <w:tr w:rsidR="00FA499F" w:rsidRPr="004A0419" w:rsidTr="00E76235">
        <w:trPr>
          <w:trHeight w:val="27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mg/mL</w:t>
            </w:r>
          </w:p>
        </w:tc>
        <w:tc>
          <w:tcPr>
            <w:tcW w:w="344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mg/mL</w:t>
            </w:r>
          </w:p>
        </w:tc>
      </w:tr>
      <w:tr w:rsidR="00FA499F" w:rsidRPr="004A0419" w:rsidTr="00E76235">
        <w:trPr>
          <w:trHeight w:hRule="exact" w:val="28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S. aureus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A041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9.46</w:t>
            </w:r>
          </w:p>
        </w:tc>
      </w:tr>
      <w:tr w:rsidR="00FA499F" w:rsidRPr="004A0419" w:rsidTr="00E76235">
        <w:trPr>
          <w:trHeight w:hRule="exact" w:val="28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B. subtilis </w:t>
            </w:r>
            <w:r w:rsidRPr="004A041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ATCC 6633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FA499F" w:rsidRPr="004A0419" w:rsidTr="00E76235">
        <w:trPr>
          <w:trHeight w:hRule="exact" w:val="28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E. faecalis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A041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ATCC 19433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FA499F" w:rsidRPr="004A0419" w:rsidTr="00E76235">
        <w:trPr>
          <w:trHeight w:hRule="exact" w:val="28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P. mirabilis h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R*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R*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R*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FA499F" w:rsidRPr="004A0419" w:rsidTr="00E76235">
        <w:trPr>
          <w:trHeight w:hRule="exact" w:val="28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E. coli </w:t>
            </w:r>
            <w:r w:rsidRPr="004A041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ATCC 11229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FA499F" w:rsidRPr="004A0419" w:rsidTr="00E76235">
        <w:trPr>
          <w:trHeight w:hRule="exact" w:val="28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P. aeruginosa </w:t>
            </w:r>
            <w:r w:rsidRPr="004A041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ATCC 15692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R*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R*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R*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FA499F" w:rsidRPr="004A0419" w:rsidTr="00E76235">
        <w:trPr>
          <w:trHeight w:val="27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Fungal strains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Nystatin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A0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mg/mL)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MIC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MFC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MIC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MFC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MIC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MFC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MIC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MFC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MIC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MFC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MIC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MFC</w:t>
            </w:r>
          </w:p>
        </w:tc>
      </w:tr>
      <w:tr w:rsidR="00FA499F" w:rsidRPr="004A0419" w:rsidTr="00E76235">
        <w:trPr>
          <w:trHeight w:hRule="exact" w:val="284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8126A2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126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Candida L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↑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9.66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9.46</w:t>
            </w:r>
          </w:p>
        </w:tc>
      </w:tr>
      <w:tr w:rsidR="00FA499F" w:rsidRPr="004A0419" w:rsidTr="00E76235">
        <w:trPr>
          <w:trHeight w:hRule="exact" w:val="284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8126A2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126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C. albicans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26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ATCC 10231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4.73</w:t>
            </w:r>
          </w:p>
        </w:tc>
      </w:tr>
      <w:tr w:rsidR="00FA499F" w:rsidRPr="004A0419" w:rsidTr="00E76235">
        <w:trPr>
          <w:trHeight w:hRule="exact" w:val="284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8126A2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126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C. albicans III h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4.73</w:t>
            </w:r>
          </w:p>
        </w:tc>
      </w:tr>
      <w:tr w:rsidR="00FA499F" w:rsidRPr="004A0419" w:rsidTr="00E76235">
        <w:trPr>
          <w:trHeight w:hRule="exact" w:val="284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8126A2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126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Candida IV h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9F" w:rsidRPr="004A0419" w:rsidRDefault="00FA499F" w:rsidP="00E762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9.46</w:t>
            </w:r>
          </w:p>
        </w:tc>
      </w:tr>
    </w:tbl>
    <w:p w:rsidR="00FA499F" w:rsidRPr="003D5D20" w:rsidRDefault="009651A1" w:rsidP="00FA499F">
      <w:pPr>
        <w:spacing w:line="360" w:lineRule="auto"/>
        <w:ind w:left="1276" w:right="426" w:hanging="8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it-IT"/>
        </w:rPr>
        <w:t xml:space="preserve">Table </w:t>
      </w:r>
      <w:r w:rsidR="00B84B86">
        <w:rPr>
          <w:rFonts w:ascii="Times New Roman" w:eastAsia="Calibri" w:hAnsi="Times New Roman" w:cs="Times New Roman"/>
          <w:b/>
          <w:bCs/>
          <w:iCs/>
          <w:sz w:val="24"/>
          <w:szCs w:val="24"/>
          <w:lang w:val="it-IT"/>
        </w:rPr>
        <w:t>SI</w:t>
      </w:r>
      <w:r w:rsidR="00FA499F">
        <w:rPr>
          <w:rFonts w:ascii="Times New Roman" w:eastAsia="Calibri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A499F" w:rsidRPr="003D5D20">
        <w:rPr>
          <w:rFonts w:ascii="Times New Roman" w:hAnsi="Times New Roman" w:cs="Times New Roman"/>
          <w:sz w:val="24"/>
          <w:szCs w:val="24"/>
        </w:rPr>
        <w:t>MIC</w:t>
      </w:r>
      <w:r w:rsidR="00FA499F">
        <w:rPr>
          <w:rFonts w:ascii="Times New Roman" w:hAnsi="Times New Roman" w:cs="Times New Roman"/>
          <w:sz w:val="24"/>
          <w:szCs w:val="24"/>
        </w:rPr>
        <w:t>,</w:t>
      </w:r>
      <w:r w:rsidR="00FA499F" w:rsidRPr="003D5D20">
        <w:rPr>
          <w:rFonts w:ascii="Times New Roman" w:hAnsi="Times New Roman" w:cs="Times New Roman"/>
          <w:sz w:val="24"/>
          <w:szCs w:val="24"/>
        </w:rPr>
        <w:t xml:space="preserve"> MBC and MFC values (mg/ml) of </w:t>
      </w:r>
      <w:r w:rsidR="00FA499F" w:rsidRPr="003D5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tested ILs</w:t>
      </w:r>
      <w:r w:rsidR="00FA49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499F" w:rsidRPr="003D5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FA499F" w:rsidRPr="003D5D20">
        <w:rPr>
          <w:rFonts w:ascii="Times New Roman" w:hAnsi="Times New Roman" w:cs="Times New Roman"/>
          <w:sz w:val="24"/>
          <w:szCs w:val="24"/>
        </w:rPr>
        <w:t xml:space="preserve"> selected</w:t>
      </w:r>
      <w:r w:rsidR="00FA499F" w:rsidRPr="003D5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antibiotics/antimicotics</w:t>
      </w:r>
      <w:r w:rsidR="00FA49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499F" w:rsidRPr="003D5D20">
        <w:rPr>
          <w:rFonts w:ascii="Times New Roman" w:hAnsi="Times New Roman" w:cs="Times New Roman"/>
          <w:sz w:val="24"/>
          <w:szCs w:val="24"/>
        </w:rPr>
        <w:t xml:space="preserve">towards bacterial and </w:t>
      </w:r>
      <w:r w:rsidR="00FA499F" w:rsidRPr="003D5D20">
        <w:rPr>
          <w:rFonts w:ascii="Times New Roman" w:hAnsi="Times New Roman" w:cs="Times New Roman"/>
          <w:i/>
          <w:sz w:val="24"/>
          <w:szCs w:val="24"/>
        </w:rPr>
        <w:t>Candida</w:t>
      </w:r>
      <w:r w:rsidR="00FA499F" w:rsidRPr="003D5D20">
        <w:rPr>
          <w:rFonts w:ascii="Times New Roman" w:hAnsi="Times New Roman" w:cs="Times New Roman"/>
          <w:sz w:val="24"/>
          <w:szCs w:val="24"/>
        </w:rPr>
        <w:t xml:space="preserve"> strains</w:t>
      </w:r>
    </w:p>
    <w:p w:rsidR="00FA499F" w:rsidRPr="003D5D20" w:rsidRDefault="00FA499F" w:rsidP="00FA499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499F" w:rsidRPr="003D5D20" w:rsidRDefault="00FA499F" w:rsidP="00FA499F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A499F" w:rsidRDefault="00FA499F" w:rsidP="00FA499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A499F" w:rsidRDefault="00FA499F" w:rsidP="00FA499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A499F" w:rsidRDefault="00FA499F" w:rsidP="00FA499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A499F" w:rsidRDefault="00FA499F" w:rsidP="00FA499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A499F" w:rsidRDefault="00FA499F" w:rsidP="00FA499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A499F" w:rsidRDefault="00FA499F" w:rsidP="00FA499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A499F" w:rsidRDefault="00FA499F" w:rsidP="00FA499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A499F" w:rsidRDefault="00FA499F" w:rsidP="00FA499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A499F" w:rsidRDefault="00FA499F" w:rsidP="00FA499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A499F" w:rsidRDefault="00FA499F" w:rsidP="00FA499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A499F" w:rsidRPr="004A0419" w:rsidRDefault="00FA499F" w:rsidP="00FA49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04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4A04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Pr="004A0419">
        <w:rPr>
          <w:rFonts w:ascii="Times New Roman" w:eastAsia="Calibri" w:hAnsi="Times New Roman" w:cs="Times New Roman"/>
          <w:bCs/>
          <w:sz w:val="20"/>
          <w:szCs w:val="20"/>
        </w:rPr>
        <w:t xml:space="preserve">streptomycin; </w:t>
      </w:r>
      <w:r w:rsidRPr="004A04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Kan</w:t>
      </w:r>
      <w:r w:rsidRPr="004A04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eastAsia="Calibri" w:hAnsi="Times New Roman" w:cs="Times New Roman"/>
          <w:bCs/>
          <w:sz w:val="20"/>
          <w:szCs w:val="20"/>
        </w:rPr>
        <w:t>kanamycin</w:t>
      </w:r>
      <w:r w:rsidRPr="004A0419">
        <w:rPr>
          <w:rFonts w:ascii="Times New Roman" w:eastAsia="Calibri" w:hAnsi="Times New Roman" w:cs="Times New Roman"/>
          <w:bCs/>
          <w:sz w:val="20"/>
          <w:szCs w:val="20"/>
        </w:rPr>
        <w:t xml:space="preserve">; </w:t>
      </w:r>
      <w:r w:rsidRPr="004A04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Amp</w:t>
      </w:r>
      <w:r w:rsidRPr="004A04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Pr="004A0419">
        <w:rPr>
          <w:rFonts w:ascii="Times New Roman" w:eastAsia="Calibri" w:hAnsi="Times New Roman" w:cs="Times New Roman"/>
          <w:bCs/>
          <w:sz w:val="20"/>
          <w:szCs w:val="20"/>
        </w:rPr>
        <w:t xml:space="preserve">ampicillin; </w:t>
      </w:r>
      <w:r w:rsidRPr="004A04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Chlo</w:t>
      </w:r>
      <w:r w:rsidRPr="004A04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Pr="008126A2">
        <w:rPr>
          <w:rFonts w:ascii="Times New Roman" w:eastAsia="Calibri" w:hAnsi="Times New Roman" w:cs="Times New Roman"/>
          <w:bCs/>
          <w:sz w:val="20"/>
          <w:szCs w:val="20"/>
        </w:rPr>
        <w:t>Chloramphenicol</w:t>
      </w:r>
      <w:r w:rsidRPr="004A0419">
        <w:rPr>
          <w:rFonts w:ascii="Times New Roman" w:eastAsia="Calibri" w:hAnsi="Times New Roman" w:cs="Times New Roman"/>
          <w:bCs/>
          <w:sz w:val="20"/>
          <w:szCs w:val="20"/>
        </w:rPr>
        <w:t xml:space="preserve">; </w:t>
      </w:r>
      <w:r w:rsidRPr="004A0419">
        <w:rPr>
          <w:rFonts w:ascii="Times New Roman" w:eastAsia="Times New Roman" w:hAnsi="Times New Roman" w:cs="Times New Roman"/>
          <w:color w:val="000000"/>
          <w:sz w:val="20"/>
          <w:szCs w:val="20"/>
        </w:rPr>
        <w:t>R* - resistant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4A0419">
        <w:rPr>
          <w:rFonts w:ascii="Times New Roman" w:hAnsi="Times New Roman" w:cs="Times New Roman"/>
          <w:bCs/>
          <w:sz w:val="20"/>
          <w:szCs w:val="20"/>
        </w:rPr>
        <w:t>↑ - the MBC/MFC value is higher than the highest tested concentration</w:t>
      </w:r>
    </w:p>
    <w:p w:rsidR="00FA499F" w:rsidRPr="003D5D20" w:rsidRDefault="00FA499F" w:rsidP="00FA499F">
      <w:pPr>
        <w:spacing w:line="360" w:lineRule="auto"/>
        <w:rPr>
          <w:rFonts w:ascii="Times New Roman" w:hAnsi="Times New Roman" w:cs="Times New Roman"/>
        </w:rPr>
      </w:pPr>
    </w:p>
    <w:p w:rsidR="00FA499F" w:rsidRPr="003D5D20" w:rsidRDefault="00FA499F" w:rsidP="00FA499F">
      <w:pPr>
        <w:spacing w:line="360" w:lineRule="auto"/>
        <w:rPr>
          <w:rFonts w:ascii="Times New Roman" w:hAnsi="Times New Roman" w:cs="Times New Roman"/>
        </w:rPr>
      </w:pPr>
    </w:p>
    <w:p w:rsidR="00FA499F" w:rsidRDefault="00FA499F" w:rsidP="00FA499F">
      <w:pPr>
        <w:spacing w:before="100" w:beforeAutospacing="1" w:after="12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en-GB"/>
        </w:rPr>
        <w:sectPr w:rsidR="00FA499F" w:rsidSect="00204659">
          <w:pgSz w:w="16840" w:h="11907" w:orient="landscape" w:code="9"/>
          <w:pgMar w:top="1134" w:right="1134" w:bottom="1134" w:left="1134" w:header="720" w:footer="720" w:gutter="0"/>
          <w:cols w:space="708"/>
          <w:docGrid w:linePitch="360"/>
        </w:sectPr>
      </w:pPr>
    </w:p>
    <w:p w:rsidR="00FA499F" w:rsidRDefault="00FA499F" w:rsidP="00FA499F">
      <w:pPr>
        <w:spacing w:before="100" w:beforeAutospacing="1" w:after="12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en-GB"/>
        </w:rPr>
      </w:pPr>
    </w:p>
    <w:p w:rsidR="00FA499F" w:rsidRPr="00C166FA" w:rsidRDefault="00FA499F" w:rsidP="00FA499F">
      <w:pPr>
        <w:spacing w:before="100" w:beforeAutospacing="1" w:after="12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en-GB"/>
        </w:rPr>
      </w:pPr>
    </w:p>
    <w:p w:rsidR="002842A7" w:rsidRPr="002842A7" w:rsidRDefault="002842A7">
      <w:pPr>
        <w:rPr>
          <w:rFonts w:ascii="Times New Roman" w:hAnsi="Times New Roman" w:cs="Times New Roman"/>
          <w:sz w:val="24"/>
          <w:szCs w:val="24"/>
        </w:rPr>
      </w:pPr>
    </w:p>
    <w:sectPr w:rsidR="002842A7" w:rsidRPr="002842A7" w:rsidSect="00C150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7BF" w:rsidRDefault="006E37BF" w:rsidP="00734A2E">
      <w:pPr>
        <w:spacing w:after="0" w:line="240" w:lineRule="auto"/>
      </w:pPr>
      <w:r>
        <w:separator/>
      </w:r>
    </w:p>
  </w:endnote>
  <w:endnote w:type="continuationSeparator" w:id="1">
    <w:p w:rsidR="006E37BF" w:rsidRDefault="006E37BF" w:rsidP="0073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6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346A" w:rsidRDefault="00734A2E">
        <w:pPr>
          <w:pStyle w:val="Footer"/>
          <w:jc w:val="right"/>
        </w:pPr>
        <w:r>
          <w:fldChar w:fldCharType="begin"/>
        </w:r>
        <w:r w:rsidR="00A825F9">
          <w:instrText xml:space="preserve"> PAGE   \* MERGEFORMAT </w:instrText>
        </w:r>
        <w:r>
          <w:fldChar w:fldCharType="separate"/>
        </w:r>
        <w:r w:rsidR="00B84B86">
          <w:rPr>
            <w:noProof/>
          </w:rPr>
          <w:t>4</w:t>
        </w:r>
        <w:r>
          <w:fldChar w:fldCharType="end"/>
        </w:r>
      </w:p>
    </w:sdtContent>
  </w:sdt>
  <w:p w:rsidR="003F346A" w:rsidRDefault="006E37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7BF" w:rsidRDefault="006E37BF" w:rsidP="00734A2E">
      <w:pPr>
        <w:spacing w:after="0" w:line="240" w:lineRule="auto"/>
      </w:pPr>
      <w:r>
        <w:separator/>
      </w:r>
    </w:p>
  </w:footnote>
  <w:footnote w:type="continuationSeparator" w:id="1">
    <w:p w:rsidR="006E37BF" w:rsidRDefault="006E37BF" w:rsidP="00734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2A7"/>
    <w:rsid w:val="002842A7"/>
    <w:rsid w:val="00331EF4"/>
    <w:rsid w:val="006E37BF"/>
    <w:rsid w:val="00734A2E"/>
    <w:rsid w:val="009651A1"/>
    <w:rsid w:val="00A825F9"/>
    <w:rsid w:val="00B84B86"/>
    <w:rsid w:val="00C1501A"/>
    <w:rsid w:val="00FA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4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3</cp:revision>
  <dcterms:created xsi:type="dcterms:W3CDTF">2019-07-12T16:00:00Z</dcterms:created>
  <dcterms:modified xsi:type="dcterms:W3CDTF">2019-07-16T17:03:00Z</dcterms:modified>
</cp:coreProperties>
</file>