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94" w:rsidRPr="00B025A6" w:rsidRDefault="00B21D94" w:rsidP="00B21D94">
      <w:pPr>
        <w:rPr>
          <w:lang w:val="en-US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"/>
        <w:gridCol w:w="3096"/>
        <w:gridCol w:w="3114"/>
        <w:gridCol w:w="1719"/>
      </w:tblGrid>
      <w:tr w:rsidR="00B21D94" w:rsidRPr="00B025A6" w:rsidTr="00E455DA">
        <w:trPr>
          <w:trHeight w:val="845"/>
        </w:trPr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90805</wp:posOffset>
                  </wp:positionV>
                  <wp:extent cx="791210" cy="802640"/>
                  <wp:effectExtent l="19050" t="0" r="8890" b="0"/>
                  <wp:wrapSquare wrapText="bothSides"/>
                  <wp:docPr id="2" name="il_fi" descr="http://www.euroveza.com/slika.php?format=200a&amp;id=logo/2/1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uroveza.com/slika.php?format=200a&amp;id=logo/2/1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single" w:sz="18" w:space="0" w:color="A6A6A6"/>
              <w:right w:val="nil"/>
            </w:tcBorders>
          </w:tcPr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de-DE"/>
              </w:rPr>
              <w:t>Univerzitet u Novom Sadu</w:t>
            </w:r>
          </w:p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de-DE"/>
              </w:rPr>
              <w:t>Prirodno-matematički fakultet</w:t>
            </w:r>
          </w:p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b/>
                <w:sz w:val="16"/>
                <w:szCs w:val="16"/>
                <w:lang w:val="sl-SI"/>
              </w:rPr>
            </w:pPr>
            <w:r w:rsidRPr="00B025A6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t xml:space="preserve">Departman </w:t>
            </w:r>
            <w:r w:rsidRPr="00B025A6">
              <w:rPr>
                <w:rFonts w:ascii="Times New Roman" w:hAnsi="Times New Roman"/>
                <w:b/>
                <w:sz w:val="16"/>
                <w:szCs w:val="16"/>
                <w:lang w:val="sl-SI"/>
              </w:rPr>
              <w:t xml:space="preserve">za hemiju, biohemiju </w:t>
            </w:r>
          </w:p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B025A6">
              <w:rPr>
                <w:rFonts w:ascii="Times New Roman" w:hAnsi="Times New Roman"/>
                <w:b/>
                <w:sz w:val="16"/>
                <w:szCs w:val="16"/>
                <w:lang w:val="sl-SI"/>
              </w:rPr>
              <w:t>i za</w:t>
            </w:r>
            <w:r w:rsidRPr="00B025A6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štitu životne sredine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18" w:space="0" w:color="A6A6A6"/>
              <w:right w:val="nil"/>
            </w:tcBorders>
          </w:tcPr>
          <w:p w:rsidR="00B21D94" w:rsidRPr="00B025A6" w:rsidRDefault="00B21D94" w:rsidP="00E455DA">
            <w:pPr>
              <w:pStyle w:val="NoSpacing"/>
              <w:jc w:val="right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>University of Novi Sad</w:t>
            </w:r>
          </w:p>
          <w:p w:rsidR="00B21D94" w:rsidRPr="00B025A6" w:rsidRDefault="00B21D94" w:rsidP="00E455DA">
            <w:pPr>
              <w:pStyle w:val="NoSpacing"/>
              <w:jc w:val="right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>Faculty of Sciences</w:t>
            </w:r>
          </w:p>
          <w:p w:rsidR="00B21D94" w:rsidRPr="00B025A6" w:rsidRDefault="00B21D94" w:rsidP="00E455DA">
            <w:pPr>
              <w:pStyle w:val="NoSpacing"/>
              <w:jc w:val="right"/>
              <w:rPr>
                <w:rFonts w:ascii="Times New Roman" w:hAnsi="Times New Roman"/>
                <w:b/>
                <w:sz w:val="16"/>
                <w:szCs w:val="16"/>
                <w:lang w:val="pl-PL"/>
              </w:rPr>
            </w:pPr>
            <w:r w:rsidRPr="00B025A6">
              <w:rPr>
                <w:rFonts w:ascii="Times New Roman" w:hAnsi="Times New Roman"/>
                <w:b/>
                <w:sz w:val="16"/>
                <w:szCs w:val="16"/>
                <w:lang w:val="pl-PL"/>
              </w:rPr>
              <w:t>Department of Chemistry, Biochemistry and Environmental Protection</w:t>
            </w: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D94" w:rsidRPr="00B025A6" w:rsidTr="00E455D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94" w:rsidRPr="00B025A6" w:rsidRDefault="00B21D94" w:rsidP="00E455D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210" w:type="dxa"/>
            <w:gridSpan w:val="2"/>
            <w:tcBorders>
              <w:top w:val="single" w:sz="18" w:space="0" w:color="A6A6A6"/>
              <w:left w:val="nil"/>
              <w:bottom w:val="nil"/>
              <w:right w:val="nil"/>
            </w:tcBorders>
          </w:tcPr>
          <w:p w:rsidR="00B21D94" w:rsidRPr="00B025A6" w:rsidRDefault="00B21D94" w:rsidP="00E455DA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de-DE"/>
              </w:rPr>
              <w:t>Trg Dositeja Obradovića 3, 21000 Novi Sad, Srbija (Serbia)</w:t>
            </w:r>
          </w:p>
          <w:p w:rsidR="00B21D94" w:rsidRPr="00B025A6" w:rsidRDefault="00B21D94" w:rsidP="00E455DA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de-DE"/>
              </w:rPr>
              <w:t>Dr Suzana Jova</w:t>
            </w:r>
            <w:r w:rsidRPr="00B025A6"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nović-Šanta, </w:t>
            </w:r>
            <w:r>
              <w:rPr>
                <w:rFonts w:ascii="Times New Roman" w:hAnsi="Times New Roman"/>
                <w:sz w:val="16"/>
                <w:szCs w:val="16"/>
                <w:lang w:val="sr-Latn-CS"/>
              </w:rPr>
              <w:t>Vanr. prof./</w:t>
            </w:r>
            <w:r w:rsidRPr="00B025A6">
              <w:rPr>
                <w:rFonts w:ascii="Times New Roman" w:hAnsi="Times New Roman"/>
                <w:sz w:val="16"/>
                <w:szCs w:val="16"/>
                <w:lang w:val="sr-Latn-CS"/>
              </w:rPr>
              <w:t xml:space="preserve"> Professor</w:t>
            </w:r>
          </w:p>
          <w:p w:rsidR="00B21D94" w:rsidRPr="00B025A6" w:rsidRDefault="00B21D94" w:rsidP="00E455DA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>Tel: +381 21 485-27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60</w:t>
            </w:r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>; Fax: +381 21 454-065</w:t>
            </w:r>
          </w:p>
          <w:p w:rsidR="00B21D94" w:rsidRPr="00B025A6" w:rsidRDefault="00B21D94" w:rsidP="00E455DA">
            <w:pPr>
              <w:pStyle w:val="NoSpacing"/>
              <w:rPr>
                <w:rFonts w:ascii="Times New Roman" w:hAnsi="Times New Roman"/>
                <w:b/>
              </w:rPr>
            </w:pPr>
            <w:r w:rsidRPr="00B025A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hyperlink r:id="rId6" w:history="1">
              <w:r w:rsidRPr="00B025A6">
                <w:rPr>
                  <w:rStyle w:val="Hyperlink"/>
                  <w:rFonts w:ascii="Times New Roman" w:hAnsi="Times New Roman"/>
                  <w:sz w:val="16"/>
                  <w:szCs w:val="16"/>
                  <w:lang w:val="pl-PL"/>
                </w:rPr>
                <w:t>www.pmf.uns.ac.rs</w:t>
              </w:r>
            </w:hyperlink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; </w:t>
            </w:r>
            <w:hyperlink r:id="rId7" w:history="1">
              <w:r w:rsidRPr="00B025A6">
                <w:rPr>
                  <w:rStyle w:val="Hyperlink"/>
                  <w:rFonts w:ascii="Times New Roman" w:hAnsi="Times New Roman"/>
                  <w:sz w:val="16"/>
                  <w:szCs w:val="16"/>
                  <w:lang w:val="pl-PL"/>
                </w:rPr>
                <w:t>www.dh.pmf.uns.ac.rs</w:t>
              </w:r>
            </w:hyperlink>
            <w:r w:rsidRPr="00B025A6">
              <w:rPr>
                <w:rFonts w:ascii="Times New Roman" w:hAnsi="Times New Roman"/>
                <w:sz w:val="16"/>
                <w:szCs w:val="16"/>
                <w:lang w:val="pl-PL"/>
              </w:rPr>
              <w:t>; e-mail: suzana.jovanovic-santa@dh.uns.ac.rs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94" w:rsidRPr="00B025A6" w:rsidRDefault="00B21D94" w:rsidP="00E455DA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B21D94" w:rsidRDefault="00B21D94" w:rsidP="00B21D94">
      <w:pPr>
        <w:rPr>
          <w:sz w:val="24"/>
          <w:szCs w:val="24"/>
          <w:lang w:val="en-US"/>
        </w:rPr>
      </w:pPr>
    </w:p>
    <w:p w:rsidR="00B21D94" w:rsidRDefault="00B21D94" w:rsidP="00B21D94">
      <w:pPr>
        <w:rPr>
          <w:sz w:val="24"/>
          <w:szCs w:val="24"/>
          <w:lang w:val="en-US"/>
        </w:rPr>
      </w:pPr>
    </w:p>
    <w:p w:rsidR="00B21D94" w:rsidRPr="008D37C9" w:rsidRDefault="00B21D94" w:rsidP="00B21D9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2019</w:t>
      </w:r>
      <w:r w:rsidRPr="00B025A6">
        <w:rPr>
          <w:sz w:val="24"/>
          <w:szCs w:val="24"/>
          <w:lang w:val="en-US"/>
        </w:rPr>
        <w:t>-0</w:t>
      </w:r>
      <w:r w:rsidR="008D37C9">
        <w:rPr>
          <w:sz w:val="24"/>
          <w:szCs w:val="24"/>
          <w:lang w:val="en-US"/>
        </w:rPr>
        <w:t>5</w:t>
      </w:r>
      <w:r w:rsidRPr="00B025A6">
        <w:rPr>
          <w:sz w:val="24"/>
          <w:szCs w:val="24"/>
          <w:lang w:val="en-US"/>
        </w:rPr>
        <w:t>-</w:t>
      </w:r>
      <w:r w:rsidR="008D37C9">
        <w:rPr>
          <w:sz w:val="24"/>
          <w:szCs w:val="24"/>
          <w:lang w:val="en-US"/>
        </w:rPr>
        <w:t>09</w:t>
      </w:r>
    </w:p>
    <w:p w:rsidR="00B21D94" w:rsidRPr="00B025A6" w:rsidRDefault="00B21D94" w:rsidP="00B21D94">
      <w:pPr>
        <w:jc w:val="center"/>
        <w:rPr>
          <w:sz w:val="24"/>
          <w:szCs w:val="24"/>
          <w:lang w:val="en-US"/>
        </w:rPr>
      </w:pPr>
      <w:r w:rsidRPr="00B025A6">
        <w:rPr>
          <w:sz w:val="24"/>
          <w:szCs w:val="24"/>
          <w:lang w:val="en-US"/>
        </w:rPr>
        <w:t xml:space="preserve">                                  </w:t>
      </w:r>
    </w:p>
    <w:p w:rsidR="00B21D94" w:rsidRPr="00B025A6" w:rsidRDefault="00B21D94" w:rsidP="00B21D94">
      <w:pPr>
        <w:rPr>
          <w:sz w:val="24"/>
          <w:szCs w:val="24"/>
          <w:lang w:val="en-US"/>
        </w:rPr>
      </w:pPr>
    </w:p>
    <w:p w:rsidR="00B21D94" w:rsidRPr="00B025A6" w:rsidRDefault="00B21D94" w:rsidP="00B21D94">
      <w:pPr>
        <w:spacing w:after="120" w:line="360" w:lineRule="auto"/>
        <w:ind w:firstLine="720"/>
        <w:rPr>
          <w:sz w:val="24"/>
          <w:szCs w:val="24"/>
          <w:lang w:val="en-US"/>
        </w:rPr>
      </w:pPr>
      <w:r w:rsidRPr="00B025A6">
        <w:rPr>
          <w:sz w:val="24"/>
          <w:szCs w:val="24"/>
          <w:lang w:val="en-US"/>
        </w:rPr>
        <w:t>Dear Editor,</w:t>
      </w:r>
    </w:p>
    <w:p w:rsidR="00B21D94" w:rsidRDefault="00B21D94" w:rsidP="00B21D94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B025A6">
        <w:rPr>
          <w:sz w:val="24"/>
          <w:szCs w:val="24"/>
          <w:lang w:val="en-US"/>
        </w:rPr>
        <w:t xml:space="preserve">Please, find enclosed the </w:t>
      </w:r>
      <w:r>
        <w:rPr>
          <w:sz w:val="24"/>
          <w:szCs w:val="24"/>
          <w:lang w:val="en-US"/>
        </w:rPr>
        <w:t xml:space="preserve">revised </w:t>
      </w:r>
      <w:r w:rsidRPr="00B025A6">
        <w:rPr>
          <w:sz w:val="24"/>
          <w:szCs w:val="24"/>
          <w:lang w:val="en-US"/>
        </w:rPr>
        <w:t>manuscript entitled: “</w:t>
      </w:r>
      <w:r w:rsidRPr="00671052">
        <w:rPr>
          <w:sz w:val="24"/>
          <w:szCs w:val="24"/>
          <w:lang w:val="en-US"/>
        </w:rPr>
        <w:t xml:space="preserve">Anticancer and antimicrobial properties of </w:t>
      </w:r>
      <w:proofErr w:type="spellStart"/>
      <w:r w:rsidRPr="00671052">
        <w:rPr>
          <w:sz w:val="24"/>
          <w:szCs w:val="24"/>
          <w:lang w:val="en-US"/>
        </w:rPr>
        <w:t>imidazolium</w:t>
      </w:r>
      <w:proofErr w:type="spellEnd"/>
      <w:r w:rsidRPr="00671052">
        <w:rPr>
          <w:sz w:val="24"/>
          <w:szCs w:val="24"/>
          <w:lang w:val="en-US"/>
        </w:rPr>
        <w:t xml:space="preserve"> based ionic liquids with </w:t>
      </w:r>
      <w:proofErr w:type="spellStart"/>
      <w:r w:rsidRPr="00671052">
        <w:rPr>
          <w:sz w:val="24"/>
          <w:szCs w:val="24"/>
          <w:lang w:val="en-US"/>
        </w:rPr>
        <w:t>salicylate</w:t>
      </w:r>
      <w:proofErr w:type="spellEnd"/>
      <w:r w:rsidRPr="00671052">
        <w:rPr>
          <w:sz w:val="24"/>
          <w:szCs w:val="24"/>
          <w:lang w:val="en-US"/>
        </w:rPr>
        <w:t xml:space="preserve"> anion</w:t>
      </w:r>
      <w:r w:rsidRPr="00B025A6">
        <w:rPr>
          <w:sz w:val="24"/>
          <w:szCs w:val="24"/>
          <w:lang w:val="en-US"/>
        </w:rPr>
        <w:t xml:space="preserve">” (by </w:t>
      </w:r>
      <w:proofErr w:type="spellStart"/>
      <w:r w:rsidRPr="00BE4167">
        <w:rPr>
          <w:sz w:val="24"/>
          <w:szCs w:val="24"/>
          <w:lang w:val="en-US"/>
        </w:rPr>
        <w:t>Suzana</w:t>
      </w:r>
      <w:proofErr w:type="spellEnd"/>
      <w:r w:rsidRPr="00BE4167">
        <w:rPr>
          <w:sz w:val="24"/>
          <w:szCs w:val="24"/>
          <w:lang w:val="en-US"/>
        </w:rPr>
        <w:t xml:space="preserve"> </w:t>
      </w:r>
      <w:proofErr w:type="spellStart"/>
      <w:r w:rsidRPr="00BE4167">
        <w:rPr>
          <w:sz w:val="24"/>
          <w:szCs w:val="24"/>
          <w:lang w:val="en-US"/>
        </w:rPr>
        <w:t>Jovanović-Šant</w:t>
      </w:r>
      <w:r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et al.</w:t>
      </w:r>
      <w:r w:rsidRPr="00B025A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, </w:t>
      </w:r>
      <w:r w:rsidRPr="00B025A6">
        <w:rPr>
          <w:sz w:val="24"/>
          <w:szCs w:val="24"/>
          <w:lang w:val="en-US"/>
        </w:rPr>
        <w:t xml:space="preserve">to be published in </w:t>
      </w:r>
      <w:r w:rsidRPr="00671052">
        <w:rPr>
          <w:bCs/>
          <w:i/>
          <w:iCs/>
          <w:sz w:val="24"/>
          <w:szCs w:val="24"/>
        </w:rPr>
        <w:t>Journal of the Serbian Chemical Society</w:t>
      </w:r>
      <w:r w:rsidRPr="006803E4">
        <w:rPr>
          <w:sz w:val="24"/>
          <w:szCs w:val="24"/>
          <w:lang w:val="en-US"/>
        </w:rPr>
        <w:t>.</w:t>
      </w:r>
    </w:p>
    <w:p w:rsidR="00B21D94" w:rsidRDefault="00B21D94" w:rsidP="00B21D94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B21D94">
        <w:rPr>
          <w:sz w:val="24"/>
          <w:szCs w:val="24"/>
          <w:lang w:val="en-US"/>
        </w:rPr>
        <w:t>The manuscript has been revised according to the suggestions and comments of the reviewers</w:t>
      </w:r>
      <w:r>
        <w:rPr>
          <w:sz w:val="24"/>
          <w:szCs w:val="24"/>
          <w:lang w:val="en-US"/>
        </w:rPr>
        <w:t>. According to the suggestion of the technical editor of the Journal, resolution of figures</w:t>
      </w:r>
      <w:r w:rsidR="008D37C9">
        <w:rPr>
          <w:sz w:val="24"/>
          <w:szCs w:val="24"/>
          <w:lang w:val="en-US"/>
        </w:rPr>
        <w:t xml:space="preserve"> has been </w:t>
      </w:r>
      <w:r>
        <w:rPr>
          <w:sz w:val="24"/>
          <w:szCs w:val="24"/>
          <w:lang w:val="en-US"/>
        </w:rPr>
        <w:t>improved and text from them has been deleted</w:t>
      </w:r>
      <w:r w:rsidR="00DD0CF3">
        <w:rPr>
          <w:sz w:val="24"/>
          <w:szCs w:val="24"/>
          <w:lang w:val="en-US"/>
        </w:rPr>
        <w:t xml:space="preserve"> or enlarged</w:t>
      </w:r>
      <w:r>
        <w:rPr>
          <w:sz w:val="24"/>
          <w:szCs w:val="24"/>
          <w:lang w:val="en-US"/>
        </w:rPr>
        <w:t>.</w:t>
      </w:r>
    </w:p>
    <w:p w:rsidR="008D37C9" w:rsidRPr="008D37C9" w:rsidRDefault="008D37C9" w:rsidP="008D37C9">
      <w:pPr>
        <w:spacing w:line="360" w:lineRule="auto"/>
        <w:ind w:firstLine="720"/>
        <w:jc w:val="both"/>
        <w:rPr>
          <w:bCs/>
          <w:sz w:val="24"/>
          <w:szCs w:val="24"/>
        </w:rPr>
      </w:pPr>
      <w:r w:rsidRPr="008D37C9">
        <w:rPr>
          <w:bCs/>
          <w:sz w:val="24"/>
          <w:szCs w:val="24"/>
        </w:rPr>
        <w:t>We want to thank the editor</w:t>
      </w:r>
      <w:r w:rsidR="000E13F1">
        <w:rPr>
          <w:bCs/>
          <w:sz w:val="24"/>
          <w:szCs w:val="24"/>
        </w:rPr>
        <w:t>s</w:t>
      </w:r>
      <w:r w:rsidRPr="008D37C9">
        <w:rPr>
          <w:bCs/>
          <w:sz w:val="24"/>
          <w:szCs w:val="24"/>
        </w:rPr>
        <w:t xml:space="preserve"> and reviewer for their helpful comments and suggestions</w:t>
      </w:r>
      <w:r>
        <w:rPr>
          <w:bCs/>
          <w:sz w:val="24"/>
          <w:szCs w:val="24"/>
        </w:rPr>
        <w:t xml:space="preserve">. </w:t>
      </w:r>
      <w:r w:rsidRPr="008D37C9">
        <w:rPr>
          <w:bCs/>
          <w:sz w:val="24"/>
          <w:szCs w:val="24"/>
        </w:rPr>
        <w:t>We carefully addressed each of the reviewer’s comments below</w:t>
      </w:r>
      <w:r w:rsidR="00766232">
        <w:rPr>
          <w:bCs/>
          <w:sz w:val="24"/>
          <w:szCs w:val="24"/>
        </w:rPr>
        <w:t xml:space="preserve">, while </w:t>
      </w:r>
      <w:r w:rsidR="00766232" w:rsidRPr="00B21D94">
        <w:rPr>
          <w:sz w:val="24"/>
          <w:szCs w:val="24"/>
          <w:lang w:val="en-US"/>
        </w:rPr>
        <w:t>the track changes option has been used</w:t>
      </w:r>
      <w:r w:rsidR="00766232">
        <w:rPr>
          <w:sz w:val="24"/>
          <w:szCs w:val="24"/>
          <w:lang w:val="en-US"/>
        </w:rPr>
        <w:t xml:space="preserve"> in the body text</w:t>
      </w:r>
      <w:r w:rsidRPr="008D37C9">
        <w:rPr>
          <w:bCs/>
          <w:sz w:val="24"/>
          <w:szCs w:val="24"/>
        </w:rPr>
        <w:t>. Thank you for considering our work. We look forward to hearing from you.</w:t>
      </w:r>
    </w:p>
    <w:p w:rsidR="008D37C9" w:rsidRDefault="008D37C9" w:rsidP="00B21D94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Best regards,</w:t>
      </w:r>
    </w:p>
    <w:p w:rsidR="008D37C9" w:rsidRDefault="008D37C9" w:rsidP="008D37C9">
      <w:pPr>
        <w:spacing w:line="360" w:lineRule="auto"/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</w:t>
      </w:r>
      <w:proofErr w:type="spellStart"/>
      <w:r w:rsidRPr="00B025A6">
        <w:rPr>
          <w:sz w:val="24"/>
          <w:szCs w:val="24"/>
          <w:lang w:val="en-US"/>
        </w:rPr>
        <w:t>Suzana</w:t>
      </w:r>
      <w:proofErr w:type="spellEnd"/>
      <w:r w:rsidRPr="00B025A6">
        <w:rPr>
          <w:sz w:val="24"/>
          <w:szCs w:val="24"/>
          <w:lang w:val="en-US"/>
        </w:rPr>
        <w:t xml:space="preserve"> </w:t>
      </w:r>
      <w:proofErr w:type="spellStart"/>
      <w:r w:rsidRPr="00B025A6">
        <w:rPr>
          <w:sz w:val="24"/>
          <w:szCs w:val="24"/>
          <w:lang w:val="en-US"/>
        </w:rPr>
        <w:t>Jovanović-Šanta</w:t>
      </w:r>
      <w:proofErr w:type="spellEnd"/>
    </w:p>
    <w:p w:rsidR="000E13F1" w:rsidRPr="000E13F1" w:rsidRDefault="000E13F1" w:rsidP="000E13F1">
      <w:pPr>
        <w:spacing w:line="360" w:lineRule="auto"/>
        <w:jc w:val="both"/>
        <w:rPr>
          <w:b/>
          <w:bCs/>
          <w:sz w:val="24"/>
          <w:szCs w:val="24"/>
        </w:rPr>
      </w:pPr>
      <w:r w:rsidRPr="000E13F1">
        <w:rPr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esponse to reviewer’s</w:t>
      </w:r>
      <w:r w:rsidRPr="000E13F1">
        <w:rPr>
          <w:b/>
          <w:bCs/>
          <w:sz w:val="24"/>
          <w:szCs w:val="24"/>
        </w:rPr>
        <w:t xml:space="preserve"> comments and suggestions</w:t>
      </w:r>
    </w:p>
    <w:p w:rsidR="008D37C9" w:rsidRDefault="008D37C9" w:rsidP="008D37C9">
      <w:pPr>
        <w:spacing w:line="360" w:lineRule="auto"/>
        <w:rPr>
          <w:sz w:val="24"/>
          <w:szCs w:val="24"/>
          <w:lang w:val="en-US"/>
        </w:rPr>
      </w:pPr>
      <w:proofErr w:type="spellStart"/>
      <w:r w:rsidRPr="008D37C9">
        <w:rPr>
          <w:b/>
          <w:sz w:val="24"/>
          <w:szCs w:val="24"/>
          <w:lang w:val="en-US"/>
        </w:rPr>
        <w:t>Reviwer</w:t>
      </w:r>
      <w:proofErr w:type="spellEnd"/>
      <w:r w:rsidRPr="008D37C9">
        <w:rPr>
          <w:b/>
          <w:sz w:val="24"/>
          <w:szCs w:val="24"/>
          <w:lang w:val="en-US"/>
        </w:rPr>
        <w:t xml:space="preserve">: </w:t>
      </w:r>
      <w:r w:rsidRPr="008D37C9">
        <w:rPr>
          <w:sz w:val="24"/>
          <w:szCs w:val="24"/>
          <w:lang w:val="en-US"/>
        </w:rPr>
        <w:t>Lane 90. Author wrote:  </w:t>
      </w:r>
      <w:proofErr w:type="spellStart"/>
      <w:r w:rsidRPr="008D37C9">
        <w:rPr>
          <w:sz w:val="24"/>
          <w:szCs w:val="24"/>
          <w:lang w:val="en-US"/>
        </w:rPr>
        <w:t>Antiproliferative</w:t>
      </w:r>
      <w:proofErr w:type="spellEnd"/>
      <w:r w:rsidRPr="008D37C9">
        <w:rPr>
          <w:sz w:val="24"/>
          <w:szCs w:val="24"/>
          <w:lang w:val="en-US"/>
        </w:rPr>
        <w:t xml:space="preserve"> activity of the </w:t>
      </w:r>
      <w:proofErr w:type="spellStart"/>
      <w:r w:rsidRPr="008D37C9">
        <w:rPr>
          <w:sz w:val="24"/>
          <w:szCs w:val="24"/>
          <w:lang w:val="en-US"/>
        </w:rPr>
        <w:t>imidazolium</w:t>
      </w:r>
      <w:proofErr w:type="spellEnd"/>
      <w:r w:rsidRPr="008D37C9">
        <w:rPr>
          <w:sz w:val="24"/>
          <w:szCs w:val="24"/>
          <w:lang w:val="en-US"/>
        </w:rPr>
        <w:t>-and</w:t>
      </w:r>
      <w:r>
        <w:rPr>
          <w:sz w:val="24"/>
          <w:szCs w:val="24"/>
          <w:lang w:val="en-US"/>
        </w:rPr>
        <w:t xml:space="preserve"> </w:t>
      </w:r>
      <w:proofErr w:type="spellStart"/>
      <w:r w:rsidRPr="008D37C9">
        <w:rPr>
          <w:sz w:val="24"/>
          <w:szCs w:val="24"/>
          <w:lang w:val="en-US"/>
        </w:rPr>
        <w:t>salicylate</w:t>
      </w:r>
      <w:proofErr w:type="spellEnd"/>
      <w:r w:rsidRPr="008D37C9">
        <w:rPr>
          <w:sz w:val="24"/>
          <w:szCs w:val="24"/>
          <w:lang w:val="en-US"/>
        </w:rPr>
        <w:t>-based ILs was evaluated by... The formulation “</w:t>
      </w:r>
      <w:proofErr w:type="spellStart"/>
      <w:r w:rsidRPr="008D37C9">
        <w:rPr>
          <w:sz w:val="24"/>
          <w:szCs w:val="24"/>
          <w:lang w:val="en-US"/>
        </w:rPr>
        <w:t>imidazolium</w:t>
      </w:r>
      <w:proofErr w:type="spellEnd"/>
      <w:r w:rsidRPr="008D37C9">
        <w:rPr>
          <w:sz w:val="24"/>
          <w:szCs w:val="24"/>
          <w:lang w:val="en-US"/>
        </w:rPr>
        <w:t>-and</w:t>
      </w:r>
      <w:r>
        <w:rPr>
          <w:sz w:val="24"/>
          <w:szCs w:val="24"/>
          <w:lang w:val="en-US"/>
        </w:rPr>
        <w:t xml:space="preserve"> </w:t>
      </w:r>
      <w:proofErr w:type="spellStart"/>
      <w:r w:rsidRPr="008D37C9">
        <w:rPr>
          <w:sz w:val="24"/>
          <w:szCs w:val="24"/>
          <w:lang w:val="en-US"/>
        </w:rPr>
        <w:t>salicylate</w:t>
      </w:r>
      <w:proofErr w:type="spellEnd"/>
      <w:r w:rsidRPr="008D37C9">
        <w:rPr>
          <w:sz w:val="24"/>
          <w:szCs w:val="24"/>
          <w:lang w:val="en-US"/>
        </w:rPr>
        <w:t>-based ILs” looks as two type of ILs was investigated.</w:t>
      </w:r>
      <w:r>
        <w:rPr>
          <w:sz w:val="24"/>
          <w:szCs w:val="24"/>
          <w:lang w:val="en-US"/>
        </w:rPr>
        <w:t xml:space="preserve"> </w:t>
      </w:r>
      <w:r w:rsidRPr="008D37C9">
        <w:rPr>
          <w:sz w:val="24"/>
          <w:szCs w:val="24"/>
          <w:lang w:val="en-US"/>
        </w:rPr>
        <w:t>“</w:t>
      </w:r>
      <w:proofErr w:type="spellStart"/>
      <w:r w:rsidRPr="008D37C9">
        <w:rPr>
          <w:sz w:val="24"/>
          <w:szCs w:val="24"/>
          <w:lang w:val="en-US"/>
        </w:rPr>
        <w:t>Imidazolium</w:t>
      </w:r>
      <w:proofErr w:type="spellEnd"/>
      <w:r w:rsidRPr="008D37C9">
        <w:rPr>
          <w:sz w:val="24"/>
          <w:szCs w:val="24"/>
          <w:lang w:val="en-US"/>
        </w:rPr>
        <w:t>-</w:t>
      </w:r>
      <w:proofErr w:type="spellStart"/>
      <w:r w:rsidRPr="008D37C9">
        <w:rPr>
          <w:sz w:val="24"/>
          <w:szCs w:val="24"/>
          <w:lang w:val="en-US"/>
        </w:rPr>
        <w:t>salicylate</w:t>
      </w:r>
      <w:proofErr w:type="spellEnd"/>
      <w:r w:rsidRPr="008D37C9">
        <w:rPr>
          <w:sz w:val="24"/>
          <w:szCs w:val="24"/>
          <w:lang w:val="en-US"/>
        </w:rPr>
        <w:t>-based ILs” is more precisely.</w:t>
      </w:r>
    </w:p>
    <w:p w:rsidR="008D37C9" w:rsidRPr="008D37C9" w:rsidRDefault="00766232" w:rsidP="008D37C9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Responce</w:t>
      </w:r>
      <w:proofErr w:type="spellEnd"/>
      <w:r w:rsidR="008D37C9" w:rsidRPr="008D37C9">
        <w:rPr>
          <w:b/>
          <w:sz w:val="24"/>
          <w:szCs w:val="24"/>
          <w:lang w:val="en-US"/>
        </w:rPr>
        <w:t>:</w:t>
      </w:r>
      <w:r w:rsidR="008D37C9">
        <w:rPr>
          <w:sz w:val="24"/>
          <w:szCs w:val="24"/>
          <w:lang w:val="en-US"/>
        </w:rPr>
        <w:t xml:space="preserve"> </w:t>
      </w:r>
      <w:r w:rsidR="008D37C9" w:rsidRPr="008D37C9">
        <w:rPr>
          <w:sz w:val="24"/>
          <w:szCs w:val="24"/>
        </w:rPr>
        <w:t>Corrected as proposed.</w:t>
      </w:r>
    </w:p>
    <w:p w:rsidR="00FF45B3" w:rsidRDefault="00FF45B3" w:rsidP="008D37C9">
      <w:pPr>
        <w:spacing w:line="360" w:lineRule="auto"/>
        <w:rPr>
          <w:sz w:val="24"/>
          <w:szCs w:val="24"/>
          <w:lang w:val="en-US"/>
        </w:rPr>
      </w:pPr>
      <w:proofErr w:type="spellStart"/>
      <w:r w:rsidRPr="008D37C9">
        <w:rPr>
          <w:b/>
          <w:sz w:val="24"/>
          <w:szCs w:val="24"/>
          <w:lang w:val="en-US"/>
        </w:rPr>
        <w:t>Reviwer</w:t>
      </w:r>
      <w:proofErr w:type="spellEnd"/>
      <w:r w:rsidRPr="008D37C9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8D37C9" w:rsidRPr="008D37C9">
        <w:rPr>
          <w:sz w:val="24"/>
          <w:szCs w:val="24"/>
          <w:lang w:val="en-US"/>
        </w:rPr>
        <w:t>Line 131.  Authors should add at the end of this sentence Table II where</w:t>
      </w:r>
      <w:r>
        <w:rPr>
          <w:sz w:val="24"/>
          <w:szCs w:val="24"/>
          <w:lang w:val="en-US"/>
        </w:rPr>
        <w:t xml:space="preserve"> </w:t>
      </w:r>
      <w:r w:rsidR="008D37C9" w:rsidRPr="008D37C9">
        <w:rPr>
          <w:sz w:val="24"/>
          <w:szCs w:val="24"/>
          <w:lang w:val="en-US"/>
        </w:rPr>
        <w:t>results are summarized.</w:t>
      </w:r>
    </w:p>
    <w:p w:rsidR="00FF45B3" w:rsidRPr="008D37C9" w:rsidRDefault="00766232" w:rsidP="00FF45B3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lang w:val="en-US"/>
        </w:rPr>
        <w:t>Responce</w:t>
      </w:r>
      <w:proofErr w:type="spellEnd"/>
      <w:r w:rsidRPr="008D37C9">
        <w:rPr>
          <w:b/>
          <w:sz w:val="24"/>
          <w:szCs w:val="24"/>
          <w:lang w:val="en-US"/>
        </w:rPr>
        <w:t>:</w:t>
      </w:r>
      <w:r w:rsidR="00FF45B3">
        <w:rPr>
          <w:sz w:val="24"/>
          <w:szCs w:val="24"/>
          <w:lang w:val="en-US"/>
        </w:rPr>
        <w:t xml:space="preserve"> </w:t>
      </w:r>
      <w:r w:rsidR="00FF45B3" w:rsidRPr="008D37C9">
        <w:rPr>
          <w:sz w:val="24"/>
          <w:szCs w:val="24"/>
        </w:rPr>
        <w:t>Corrected as proposed.</w:t>
      </w:r>
    </w:p>
    <w:p w:rsidR="00FF27F1" w:rsidRDefault="00FF45B3" w:rsidP="000E10D5">
      <w:pPr>
        <w:spacing w:line="360" w:lineRule="auto"/>
      </w:pPr>
      <w:proofErr w:type="spellStart"/>
      <w:r w:rsidRPr="008D37C9">
        <w:rPr>
          <w:b/>
          <w:sz w:val="24"/>
          <w:szCs w:val="24"/>
          <w:lang w:val="en-US"/>
        </w:rPr>
        <w:t>Reviwer</w:t>
      </w:r>
      <w:proofErr w:type="spellEnd"/>
      <w:r w:rsidRPr="008D37C9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8D37C9" w:rsidRPr="008D37C9">
        <w:rPr>
          <w:sz w:val="24"/>
          <w:szCs w:val="24"/>
          <w:lang w:val="en-US"/>
        </w:rPr>
        <w:t xml:space="preserve">Lines 132-136. Sentences: The most </w:t>
      </w:r>
      <w:proofErr w:type="spellStart"/>
      <w:r w:rsidR="008D37C9" w:rsidRPr="008D37C9">
        <w:rPr>
          <w:sz w:val="24"/>
          <w:szCs w:val="24"/>
          <w:lang w:val="en-US"/>
        </w:rPr>
        <w:t>cytotoxic</w:t>
      </w:r>
      <w:proofErr w:type="spellEnd"/>
      <w:r w:rsidR="008D37C9" w:rsidRPr="008D37C9">
        <w:rPr>
          <w:sz w:val="24"/>
          <w:szCs w:val="24"/>
          <w:lang w:val="en-US"/>
        </w:rPr>
        <w:t xml:space="preserve"> against these cells was ionic</w:t>
      </w:r>
      <w:r w:rsidR="008D37C9" w:rsidRPr="008D37C9">
        <w:rPr>
          <w:sz w:val="24"/>
          <w:szCs w:val="24"/>
          <w:lang w:val="en-US"/>
        </w:rPr>
        <w:br/>
        <w:t xml:space="preserve">liquid </w:t>
      </w:r>
      <w:proofErr w:type="gramStart"/>
      <w:r w:rsidR="008D37C9" w:rsidRPr="008D37C9">
        <w:rPr>
          <w:sz w:val="24"/>
          <w:szCs w:val="24"/>
          <w:lang w:val="en-US"/>
        </w:rPr>
        <w:t>2,….</w:t>
      </w:r>
      <w:proofErr w:type="gramEnd"/>
      <w:r w:rsidR="008D37C9" w:rsidRPr="008D37C9">
        <w:rPr>
          <w:sz w:val="24"/>
          <w:szCs w:val="24"/>
          <w:lang w:val="en-US"/>
        </w:rPr>
        <w:t xml:space="preserve"> while ILs did not decrease cell numbers significantly. Authors</w:t>
      </w:r>
      <w:r w:rsidR="008D37C9" w:rsidRPr="008D37C9">
        <w:rPr>
          <w:sz w:val="24"/>
          <w:szCs w:val="24"/>
          <w:lang w:val="en-US"/>
        </w:rPr>
        <w:br/>
        <w:t>should explain results very precisely e.g. the narrative and results in</w:t>
      </w:r>
      <w:r>
        <w:rPr>
          <w:sz w:val="24"/>
          <w:szCs w:val="24"/>
          <w:lang w:val="en-US"/>
        </w:rPr>
        <w:t xml:space="preserve"> </w:t>
      </w:r>
      <w:r w:rsidR="008D37C9" w:rsidRPr="008D37C9">
        <w:rPr>
          <w:sz w:val="24"/>
          <w:szCs w:val="24"/>
          <w:lang w:val="en-US"/>
        </w:rPr>
        <w:t>Table should agree each other.</w:t>
      </w:r>
      <w:r w:rsidR="008D37C9" w:rsidRPr="008D37C9">
        <w:rPr>
          <w:sz w:val="24"/>
          <w:szCs w:val="24"/>
          <w:lang w:val="en-US"/>
        </w:rPr>
        <w:br/>
      </w:r>
      <w:proofErr w:type="spellStart"/>
      <w:r w:rsidR="00766232">
        <w:rPr>
          <w:b/>
          <w:sz w:val="24"/>
          <w:szCs w:val="24"/>
          <w:lang w:val="en-US"/>
        </w:rPr>
        <w:t>Responce</w:t>
      </w:r>
      <w:proofErr w:type="spellEnd"/>
      <w:r w:rsidR="00766232" w:rsidRPr="008D37C9">
        <w:rPr>
          <w:b/>
          <w:sz w:val="24"/>
          <w:szCs w:val="24"/>
          <w:lang w:val="en-US"/>
        </w:rPr>
        <w:t>:</w:t>
      </w:r>
      <w:r w:rsidR="00766232">
        <w:rPr>
          <w:sz w:val="24"/>
          <w:szCs w:val="24"/>
          <w:lang w:val="en-US"/>
        </w:rPr>
        <w:t xml:space="preserve"> </w:t>
      </w:r>
      <w:r w:rsidR="00766232" w:rsidRPr="008D37C9">
        <w:rPr>
          <w:sz w:val="24"/>
          <w:szCs w:val="24"/>
        </w:rPr>
        <w:t>Corrected as proposed.</w:t>
      </w:r>
      <w:r w:rsidR="000E10D5">
        <w:rPr>
          <w:sz w:val="24"/>
          <w:szCs w:val="24"/>
        </w:rPr>
        <w:t xml:space="preserve"> All results have been commented </w:t>
      </w:r>
      <w:r w:rsidR="009A440B">
        <w:rPr>
          <w:sz w:val="24"/>
          <w:szCs w:val="24"/>
        </w:rPr>
        <w:t>precisely.</w:t>
      </w:r>
    </w:p>
    <w:sectPr w:rsidR="00FF27F1" w:rsidSect="000E13F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D94"/>
    <w:rsid w:val="000E10D5"/>
    <w:rsid w:val="000E13F1"/>
    <w:rsid w:val="001C5035"/>
    <w:rsid w:val="00766232"/>
    <w:rsid w:val="008D37C9"/>
    <w:rsid w:val="009A440B"/>
    <w:rsid w:val="00B21D94"/>
    <w:rsid w:val="00D462FA"/>
    <w:rsid w:val="00DD0CF3"/>
    <w:rsid w:val="00FF27F1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1D94"/>
    <w:rPr>
      <w:color w:val="0000FF"/>
      <w:u w:val="single"/>
    </w:rPr>
  </w:style>
  <w:style w:type="paragraph" w:styleId="NoSpacing">
    <w:name w:val="No Spacing"/>
    <w:qFormat/>
    <w:rsid w:val="00B21D9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9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h.pmf.uns.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f.uns.ac.rs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3</cp:revision>
  <dcterms:created xsi:type="dcterms:W3CDTF">2019-09-03T14:24:00Z</dcterms:created>
  <dcterms:modified xsi:type="dcterms:W3CDTF">2019-09-05T10:24:00Z</dcterms:modified>
</cp:coreProperties>
</file>